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C3B4D" w14:textId="79ABF9E2" w:rsidR="009D4CFC" w:rsidRDefault="009D4CFC" w:rsidP="00A354F9">
      <w:pPr>
        <w:pStyle w:val="berschrift1"/>
      </w:pPr>
      <w:r>
        <w:t>Mustervorschlag</w:t>
      </w:r>
      <w:r w:rsidR="008F6ABD">
        <w:t xml:space="preserve"> für Informationen gemäß Art. 13 DSGVO</w:t>
      </w:r>
    </w:p>
    <w:p w14:paraId="34DBE3E5" w14:textId="1FB07690" w:rsidR="009D4CFC" w:rsidRPr="009D4CFC" w:rsidRDefault="009D4CFC" w:rsidP="009D4CFC">
      <w:r>
        <w:t>Dieser Vorschlag wurde von der Stabsstelle IT-Recht der bayerischen staatlichen Universitäten Hochschulen erarbeitet.</w:t>
      </w:r>
      <w:r w:rsidR="004217C6">
        <w:t xml:space="preserve"> Anmerkungen werden gerne </w:t>
      </w:r>
      <w:r w:rsidR="008C239C">
        <w:t>entgegengenommen</w:t>
      </w:r>
      <w:r w:rsidR="004217C6">
        <w:t>.</w:t>
      </w:r>
    </w:p>
    <w:p w14:paraId="72C2A9D2" w14:textId="77777777" w:rsidR="00A354F9" w:rsidRPr="00A354F9" w:rsidRDefault="00A354F9" w:rsidP="00A354F9">
      <w:pPr>
        <w:pStyle w:val="berschrift1"/>
      </w:pPr>
      <w:r w:rsidRPr="00A354F9">
        <w:t>Allgemeine Angaben</w:t>
      </w:r>
    </w:p>
    <w:p w14:paraId="30F9D121" w14:textId="77777777" w:rsidR="00A354F9" w:rsidRPr="00A354F9" w:rsidRDefault="00A354F9" w:rsidP="00A354F9">
      <w:pPr>
        <w:pStyle w:val="berschrift2"/>
      </w:pPr>
      <w:r w:rsidRPr="00A354F9">
        <w:t>Bezeichnung der Verarbeitungstätigkeit</w:t>
      </w:r>
    </w:p>
    <w:p w14:paraId="7AD8B1EE" w14:textId="5930152F" w:rsidR="00A354F9" w:rsidRPr="00A354F9" w:rsidRDefault="00174E88" w:rsidP="00A354F9">
      <w:pPr>
        <w:spacing w:after="160" w:line="259" w:lineRule="auto"/>
      </w:pPr>
      <w:r>
        <w:t>Webinar</w:t>
      </w:r>
      <w:r w:rsidR="00D61EEC">
        <w:t>e und virtuelle Besprechungen</w:t>
      </w:r>
      <w:r w:rsidR="004145A2">
        <w:t xml:space="preserve"> (zoom)</w:t>
      </w:r>
    </w:p>
    <w:p w14:paraId="242364D4" w14:textId="77777777" w:rsidR="00A354F9" w:rsidRPr="00A354F9" w:rsidRDefault="00A354F9" w:rsidP="00A354F9">
      <w:pPr>
        <w:pStyle w:val="berschrift2"/>
      </w:pPr>
      <w:r w:rsidRPr="00A354F9">
        <w:t>Verantwortlicher</w:t>
      </w:r>
    </w:p>
    <w:p w14:paraId="7CDFED9B" w14:textId="77777777" w:rsidR="00A354F9" w:rsidRPr="00A354F9" w:rsidRDefault="00327BF1" w:rsidP="00A354F9">
      <w:pPr>
        <w:spacing w:after="160" w:line="259" w:lineRule="auto"/>
      </w:pPr>
      <w:r w:rsidRPr="00DE4628">
        <w:rPr>
          <w:highlight w:val="yellow"/>
        </w:rPr>
        <w:t>Angaben des Verantwortlichen</w:t>
      </w:r>
    </w:p>
    <w:p w14:paraId="35AB5649" w14:textId="77777777" w:rsidR="00A354F9" w:rsidRPr="00A354F9" w:rsidRDefault="00A354F9" w:rsidP="00A354F9">
      <w:pPr>
        <w:pStyle w:val="berschrift2"/>
      </w:pPr>
      <w:r w:rsidRPr="00A354F9">
        <w:t>Datenschutzbeauftragter</w:t>
      </w:r>
    </w:p>
    <w:p w14:paraId="0919F57B" w14:textId="451E9A20" w:rsidR="00A354F9" w:rsidRPr="00A354F9" w:rsidRDefault="00327BF1" w:rsidP="00A354F9">
      <w:pPr>
        <w:spacing w:after="160" w:line="259" w:lineRule="auto"/>
      </w:pPr>
      <w:r w:rsidRPr="00DE4628">
        <w:rPr>
          <w:highlight w:val="yellow"/>
        </w:rPr>
        <w:t>Angaben des Verantwortlichen</w:t>
      </w:r>
      <w:r w:rsidR="00DE4628" w:rsidRPr="00DE4628">
        <w:rPr>
          <w:highlight w:val="yellow"/>
        </w:rPr>
        <w:t xml:space="preserve"> zum Datenschutzbeauftragen</w:t>
      </w:r>
    </w:p>
    <w:p w14:paraId="084580A1" w14:textId="704564EC" w:rsidR="00744A43" w:rsidRDefault="00744A43" w:rsidP="00A354F9">
      <w:pPr>
        <w:pStyle w:val="berschrift1"/>
      </w:pPr>
      <w:r>
        <w:t>Betroffenenrechte</w:t>
      </w:r>
    </w:p>
    <w:p w14:paraId="6A70CAD1" w14:textId="77777777" w:rsidR="000561EF" w:rsidRPr="000561EF" w:rsidRDefault="000561EF" w:rsidP="006D5C35">
      <w:pPr>
        <w:pStyle w:val="berschrift2"/>
      </w:pPr>
      <w:r w:rsidRPr="000561EF">
        <w:t>Allgemein </w:t>
      </w:r>
    </w:p>
    <w:p w14:paraId="04219F9A" w14:textId="77777777" w:rsidR="000561EF" w:rsidRPr="000561EF" w:rsidRDefault="000561EF" w:rsidP="000561EF">
      <w:r w:rsidRPr="000561EF">
        <w:t>Hinsichtlich der Verarbeitung Ihrer personenbezogenen Daten stehen Ihnen als einer betroffenen Person die nachfolgend genannten Rechte gemäß Art. 15 ff. DSGVO zu: </w:t>
      </w:r>
    </w:p>
    <w:p w14:paraId="18F48B19" w14:textId="77777777" w:rsidR="000561EF" w:rsidRPr="000561EF" w:rsidRDefault="000561EF" w:rsidP="000561EF">
      <w:pPr>
        <w:numPr>
          <w:ilvl w:val="0"/>
          <w:numId w:val="5"/>
        </w:numPr>
      </w:pPr>
      <w:r w:rsidRPr="000561EF">
        <w:t>Sie können Auskunft darüber verlangen, ob wir personenbezogene Daten von Ihnen verarbeiten. Ist dies der Fall, so haben Sie ein Recht auf Auskunft über diese personenbezogenen Daten sowie auf weitere mit der Verarbeitung zusammenhängende Informationen (Art. 15 DSGVO). Bitte beachten Sie, dass dieses Auskunftsrecht in bestimmten Fällen eingeschränkt oder ausgeschlossen sein kann (vgl. insbesondere Art. 10 BayDSG). </w:t>
      </w:r>
    </w:p>
    <w:p w14:paraId="788901BD" w14:textId="77777777" w:rsidR="000561EF" w:rsidRPr="000561EF" w:rsidRDefault="000561EF" w:rsidP="000561EF">
      <w:pPr>
        <w:numPr>
          <w:ilvl w:val="0"/>
          <w:numId w:val="5"/>
        </w:numPr>
      </w:pPr>
      <w:r w:rsidRPr="000561EF">
        <w:t>Für den Fall, dass personenbezogene Daten über Sie nicht (mehr) zutreffend oder unvollständig sind, können Sie eine Berichtigung und gegebenenfalls Vervollständigung dieser Daten verlangen (Art. 16 DSGVO). </w:t>
      </w:r>
    </w:p>
    <w:p w14:paraId="3B14B0B0" w14:textId="77777777" w:rsidR="000561EF" w:rsidRPr="000561EF" w:rsidRDefault="000561EF" w:rsidP="000561EF">
      <w:pPr>
        <w:numPr>
          <w:ilvl w:val="0"/>
          <w:numId w:val="6"/>
        </w:numPr>
      </w:pPr>
      <w:r w:rsidRPr="000561EF">
        <w:t>Bei Vorliegen der gesetzlichen Voraussetzungen können Sie die Löschung Ihrer personenbezogenen Daten (Art. 17 DSGVO) oder die Einschränkung der Verarbeitung dieser Daten (Art. 18 DSGVO) verlangen.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 </w:t>
      </w:r>
    </w:p>
    <w:p w14:paraId="23CB21B0" w14:textId="77777777" w:rsidR="000561EF" w:rsidRPr="000561EF" w:rsidRDefault="000561EF" w:rsidP="000561EF">
      <w:pPr>
        <w:numPr>
          <w:ilvl w:val="0"/>
          <w:numId w:val="6"/>
        </w:numPr>
      </w:pPr>
      <w:r w:rsidRPr="000561EF">
        <w:t>Wenn Sie in die Verarbeitung eingewilligt haben oder ein Vertrag zur Datenverarbeitung besteht und die Datenverarbeitung mithilfe automatisierter Verfahren durchgeführt wird, steht Ihnen gegebenenfalls ein Recht auf Datenübertragbarkeit zu (Art. 20 DSGVO). </w:t>
      </w:r>
    </w:p>
    <w:p w14:paraId="42D816EF" w14:textId="77777777" w:rsidR="000561EF" w:rsidRPr="000561EF" w:rsidRDefault="000561EF" w:rsidP="000561EF">
      <w:pPr>
        <w:numPr>
          <w:ilvl w:val="0"/>
          <w:numId w:val="6"/>
        </w:numPr>
      </w:pPr>
      <w:r w:rsidRPr="000561EF">
        <w:lastRenderedPageBreak/>
        <w:t>Sie haben das Recht, sich bei einer Aufsichtsbehörde im Sinn des Art. 51 DSGVO über die Verarbeitung Ihrer personenbezogenen Daten zu beschweren. Zuständige Aufsichtsbehörde für bayerische öffentliche Stellen ist der Bayerische Landesbeauftragte für den Datenschutz, Wagmüllerstraße 18, 80538 München. </w:t>
      </w:r>
    </w:p>
    <w:p w14:paraId="76F498ED" w14:textId="77777777" w:rsidR="000561EF" w:rsidRPr="000561EF" w:rsidRDefault="000561EF" w:rsidP="000561EF">
      <w:r w:rsidRPr="000561EF">
        <w:t>Über Ihr Widerspruchsrecht informieren wir Sie gesondert. </w:t>
      </w:r>
    </w:p>
    <w:p w14:paraId="209BAE97" w14:textId="77777777" w:rsidR="000561EF" w:rsidRPr="000561EF" w:rsidRDefault="000561EF" w:rsidP="006D5C35">
      <w:pPr>
        <w:pStyle w:val="berschrift2"/>
      </w:pPr>
      <w:r w:rsidRPr="000561EF">
        <w:t>Widerspruchsrecht </w:t>
      </w:r>
    </w:p>
    <w:p w14:paraId="313DACC5" w14:textId="78542E72" w:rsidR="00744A43" w:rsidRPr="00744A43" w:rsidRDefault="000561EF" w:rsidP="00744A43">
      <w:r w:rsidRPr="000561EF">
        <w:rPr>
          <w:b/>
          <w:bCs/>
        </w:rPr>
        <w:t>Aus Gründen, die sich aus Ihrer besonderen Situation ergeben, können Sie der Verarbeitung Sie betreffender personenbezogener Daten durch uns zudem jederzeit widersprechen (Art. 21 DSGVO).</w:t>
      </w:r>
      <w:r w:rsidRPr="000561EF">
        <w:t> Sofern die gesetzlichen Voraussetzungen vorliegen, verarbeiten wir in der Folge Ihre personenbezogenen Daten nicht mehr. </w:t>
      </w:r>
    </w:p>
    <w:p w14:paraId="43EB23AF" w14:textId="75BDAA91" w:rsidR="00A354F9" w:rsidRPr="00A354F9" w:rsidRDefault="00A354F9" w:rsidP="00A354F9">
      <w:pPr>
        <w:pStyle w:val="berschrift1"/>
      </w:pPr>
      <w:r w:rsidRPr="00A354F9">
        <w:t>Zwecke und Rechtsgrundlagen der Verarbeitung</w:t>
      </w:r>
    </w:p>
    <w:p w14:paraId="2EC4CCAA" w14:textId="77777777" w:rsidR="00A354F9" w:rsidRPr="00A354F9" w:rsidRDefault="00A354F9" w:rsidP="00A354F9">
      <w:pPr>
        <w:pStyle w:val="berschrift2"/>
      </w:pPr>
      <w:r w:rsidRPr="00A354F9">
        <w:t>Zwecke</w:t>
      </w:r>
    </w:p>
    <w:p w14:paraId="4EEC524D" w14:textId="77777777" w:rsidR="00E8755B" w:rsidRDefault="00A354F9" w:rsidP="00A354F9">
      <w:pPr>
        <w:spacing w:after="160" w:line="259" w:lineRule="auto"/>
      </w:pPr>
      <w:r w:rsidRPr="00DE4628">
        <w:rPr>
          <w:highlight w:val="yellow"/>
        </w:rPr>
        <w:t>Obliegt dem Verantwortlichen zu bestimmen</w:t>
      </w:r>
      <w:r w:rsidR="009D4CFC" w:rsidRPr="00DE4628">
        <w:rPr>
          <w:highlight w:val="yellow"/>
        </w:rPr>
        <w:t>,</w:t>
      </w:r>
      <w:r w:rsidR="00E8755B" w:rsidRPr="00DE4628">
        <w:rPr>
          <w:highlight w:val="yellow"/>
        </w:rPr>
        <w:t xml:space="preserve"> etwa:</w:t>
      </w:r>
    </w:p>
    <w:p w14:paraId="2C937F5D" w14:textId="77777777" w:rsidR="00B3183E" w:rsidRDefault="00A354F9" w:rsidP="00A354F9">
      <w:pPr>
        <w:spacing w:after="160" w:line="259" w:lineRule="auto"/>
      </w:pPr>
      <w:r w:rsidRPr="00A354F9">
        <w:t xml:space="preserve">Bezug und Nutzung der </w:t>
      </w:r>
      <w:r w:rsidR="005E5E2C">
        <w:t>Webinar-Lösung</w:t>
      </w:r>
      <w:r w:rsidRPr="00A354F9">
        <w:t xml:space="preserve"> als Hilfsmittel für die </w:t>
      </w:r>
      <w:r w:rsidR="009D4CFC">
        <w:t>Lehre, Forschung und Verwaltung</w:t>
      </w:r>
      <w:r w:rsidR="00DE67B4">
        <w:t xml:space="preserve">. </w:t>
      </w:r>
    </w:p>
    <w:p w14:paraId="5B1E24D2" w14:textId="5D5BFA05" w:rsidR="00DE67B4" w:rsidRDefault="00DE67B4" w:rsidP="00A354F9">
      <w:pPr>
        <w:spacing w:after="160" w:line="259" w:lineRule="auto"/>
      </w:pPr>
      <w:r>
        <w:t>Dies umfasst die Nutzung der lizenzierten Produkte und Services, Bereitstellung von Updates</w:t>
      </w:r>
      <w:r w:rsidR="00E8755B">
        <w:t xml:space="preserve">, </w:t>
      </w:r>
      <w:r>
        <w:t>Gewährleistung der Informationss</w:t>
      </w:r>
      <w:r w:rsidR="00E8755B">
        <w:t xml:space="preserve">icherheit sowie </w:t>
      </w:r>
      <w:r w:rsidR="00E8755B" w:rsidRPr="00E8755B">
        <w:t>te</w:t>
      </w:r>
      <w:r w:rsidR="00E8755B">
        <w:t>chnischen und k</w:t>
      </w:r>
      <w:r w:rsidR="00E8755B" w:rsidRPr="00E8755B">
        <w:t>unden</w:t>
      </w:r>
      <w:r w:rsidR="00E8755B">
        <w:t>bezogenen</w:t>
      </w:r>
      <w:r w:rsidR="00E8755B" w:rsidRPr="00E8755B">
        <w:t>-Support</w:t>
      </w:r>
      <w:r w:rsidR="00E8755B">
        <w:t>.</w:t>
      </w:r>
    </w:p>
    <w:p w14:paraId="195B3FC5" w14:textId="4A529359" w:rsidR="006C7AAE" w:rsidRDefault="00B3183E" w:rsidP="00A354F9">
      <w:pPr>
        <w:spacing w:after="160" w:line="259" w:lineRule="auto"/>
      </w:pPr>
      <w:r>
        <w:t xml:space="preserve">Es werden auch </w:t>
      </w:r>
      <w:r w:rsidR="00DE4628">
        <w:t>Statistiken</w:t>
      </w:r>
      <w:r>
        <w:t xml:space="preserve"> erstellt:</w:t>
      </w:r>
    </w:p>
    <w:p w14:paraId="78884917" w14:textId="7FA8FA93" w:rsidR="00E1192E" w:rsidRDefault="00E25BA7" w:rsidP="00B3183E">
      <w:pPr>
        <w:pStyle w:val="Listenabsatz"/>
        <w:numPr>
          <w:ilvl w:val="0"/>
          <w:numId w:val="3"/>
        </w:numPr>
        <w:spacing w:after="160" w:line="259" w:lineRule="auto"/>
      </w:pPr>
      <w:hyperlink r:id="rId8" w:history="1">
        <w:r w:rsidR="00E1192E" w:rsidRPr="009A4A79">
          <w:rPr>
            <w:rStyle w:val="Hyperlink"/>
          </w:rPr>
          <w:t>https://support.zoom.us/hc/en-us/articles/360039656511-Dashboard-Statistics-and-Graphs</w:t>
        </w:r>
      </w:hyperlink>
    </w:p>
    <w:p w14:paraId="64C11641" w14:textId="1C1EE50E" w:rsidR="00E1192E" w:rsidRDefault="00E25BA7" w:rsidP="00B3183E">
      <w:pPr>
        <w:pStyle w:val="Listenabsatz"/>
        <w:numPr>
          <w:ilvl w:val="0"/>
          <w:numId w:val="3"/>
        </w:numPr>
        <w:spacing w:after="160" w:line="259" w:lineRule="auto"/>
      </w:pPr>
      <w:hyperlink r:id="rId9" w:history="1">
        <w:r w:rsidR="008D6655" w:rsidRPr="009A4A79">
          <w:rPr>
            <w:rStyle w:val="Hyperlink"/>
          </w:rPr>
          <w:t>https://support.zoom.us/hc/en-us/articles/360039017432-Dashboard-for-Meetings-and-Webinars</w:t>
        </w:r>
      </w:hyperlink>
      <w:r w:rsidR="008D6655">
        <w:t xml:space="preserve"> </w:t>
      </w:r>
    </w:p>
    <w:p w14:paraId="58638B01" w14:textId="546AF373" w:rsidR="00801822" w:rsidRDefault="00801822" w:rsidP="00801822">
      <w:pPr>
        <w:spacing w:after="160" w:line="259" w:lineRule="auto"/>
      </w:pPr>
      <w:r>
        <w:t>Und es gibt</w:t>
      </w:r>
      <w:r w:rsidR="005858D6">
        <w:t xml:space="preserve"> teilweise</w:t>
      </w:r>
      <w:r>
        <w:t xml:space="preserve"> optionale Trackingmöglichkeiten</w:t>
      </w:r>
      <w:r w:rsidR="00A8069E">
        <w:t>, die nicht aktiviert werden sollten</w:t>
      </w:r>
    </w:p>
    <w:p w14:paraId="7C68D1CF" w14:textId="4411F8EF" w:rsidR="00B3183E" w:rsidRDefault="00E25BA7" w:rsidP="00B3183E">
      <w:pPr>
        <w:pStyle w:val="Listenabsatz"/>
        <w:numPr>
          <w:ilvl w:val="0"/>
          <w:numId w:val="3"/>
        </w:numPr>
        <w:spacing w:after="160" w:line="259" w:lineRule="auto"/>
      </w:pPr>
      <w:hyperlink r:id="rId10" w:history="1">
        <w:r w:rsidR="00801822" w:rsidRPr="009A4A79">
          <w:rPr>
            <w:rStyle w:val="Hyperlink"/>
          </w:rPr>
          <w:t>https://support.zoom.us/hc/en-us/articles/115003478863-Using-Facebook-Pixel-with-Zoom</w:t>
        </w:r>
      </w:hyperlink>
    </w:p>
    <w:p w14:paraId="0087D3C0" w14:textId="41593A45" w:rsidR="00801822" w:rsidRDefault="00E25BA7" w:rsidP="00B3183E">
      <w:pPr>
        <w:pStyle w:val="Listenabsatz"/>
        <w:numPr>
          <w:ilvl w:val="0"/>
          <w:numId w:val="3"/>
        </w:numPr>
        <w:spacing w:after="160" w:line="259" w:lineRule="auto"/>
      </w:pPr>
      <w:hyperlink r:id="rId11" w:history="1">
        <w:r w:rsidR="001D6941" w:rsidRPr="009A4A79">
          <w:rPr>
            <w:rStyle w:val="Hyperlink"/>
          </w:rPr>
          <w:t>https://support.zoom.us/hc/en-us/articles/360000315683-Webinar-Registration-Source-Tracking</w:t>
        </w:r>
      </w:hyperlink>
    </w:p>
    <w:p w14:paraId="0B1FBAA6" w14:textId="727FB34B" w:rsidR="001D6941" w:rsidRDefault="00E25BA7" w:rsidP="00B3183E">
      <w:pPr>
        <w:pStyle w:val="Listenabsatz"/>
        <w:numPr>
          <w:ilvl w:val="0"/>
          <w:numId w:val="3"/>
        </w:numPr>
        <w:spacing w:after="160" w:line="259" w:lineRule="auto"/>
      </w:pPr>
      <w:hyperlink r:id="rId12" w:history="1">
        <w:r w:rsidR="00911FC0" w:rsidRPr="009A4A79">
          <w:rPr>
            <w:rStyle w:val="Hyperlink"/>
          </w:rPr>
          <w:t>https://support.zoom.us/hc/en-us/articles/115000538083-Attendee-attention-tracking</w:t>
        </w:r>
      </w:hyperlink>
    </w:p>
    <w:p w14:paraId="280E2E59" w14:textId="33D700A4" w:rsidR="005858D6" w:rsidRPr="00A354F9" w:rsidRDefault="00E25BA7" w:rsidP="00B3183E">
      <w:pPr>
        <w:pStyle w:val="Listenabsatz"/>
        <w:numPr>
          <w:ilvl w:val="0"/>
          <w:numId w:val="3"/>
        </w:numPr>
        <w:spacing w:after="160" w:line="259" w:lineRule="auto"/>
      </w:pPr>
      <w:hyperlink r:id="rId13" w:history="1">
        <w:r w:rsidR="005858D6" w:rsidRPr="009A4A79">
          <w:rPr>
            <w:rStyle w:val="Hyperlink"/>
          </w:rPr>
          <w:t>https://support.zoom.us/hc/en-us/articles/202835649-Webinar-Registration-Customization</w:t>
        </w:r>
      </w:hyperlink>
      <w:r w:rsidR="005858D6">
        <w:t xml:space="preserve"> </w:t>
      </w:r>
    </w:p>
    <w:p w14:paraId="2E7765C1" w14:textId="77777777" w:rsidR="00A354F9" w:rsidRPr="00A354F9" w:rsidRDefault="00A354F9" w:rsidP="00A354F9">
      <w:pPr>
        <w:pStyle w:val="berschrift2"/>
      </w:pPr>
      <w:r w:rsidRPr="00A354F9">
        <w:t>Rechtsgrundlagen</w:t>
      </w:r>
    </w:p>
    <w:p w14:paraId="3587724F" w14:textId="15C3C6FE" w:rsidR="00A354F9" w:rsidRDefault="00A354F9" w:rsidP="00A354F9">
      <w:pPr>
        <w:spacing w:after="160" w:line="259" w:lineRule="auto"/>
      </w:pPr>
      <w:r>
        <w:t xml:space="preserve">Obliegt dem Verantwortlichen </w:t>
      </w:r>
      <w:r w:rsidR="000C0C31">
        <w:t>zu benennen</w:t>
      </w:r>
      <w:r w:rsidR="00213223">
        <w:t>, etwa:</w:t>
      </w:r>
    </w:p>
    <w:p w14:paraId="4E105440" w14:textId="77777777" w:rsidR="0061488F" w:rsidRDefault="00E1192E" w:rsidP="0061488F">
      <w:pPr>
        <w:pStyle w:val="Listenabsatz"/>
        <w:numPr>
          <w:ilvl w:val="0"/>
          <w:numId w:val="4"/>
        </w:numPr>
        <w:spacing w:after="160" w:line="259" w:lineRule="auto"/>
      </w:pPr>
      <w:r>
        <w:t>Für die Statistik</w:t>
      </w:r>
    </w:p>
    <w:p w14:paraId="7E8A5707" w14:textId="2AF9D941" w:rsidR="00E1192E" w:rsidRDefault="00E1192E" w:rsidP="0061488F">
      <w:pPr>
        <w:pStyle w:val="Listenabsatz"/>
        <w:numPr>
          <w:ilvl w:val="1"/>
          <w:numId w:val="4"/>
        </w:numPr>
        <w:spacing w:after="160" w:line="259" w:lineRule="auto"/>
      </w:pPr>
      <w:r>
        <w:t>Art. 6 Abs. 1 lit. e i.V.m. Art. 4 BayDSG (Art. 10 Abs. 1 BayHSchG, Art. 7 BayHO)</w:t>
      </w:r>
    </w:p>
    <w:p w14:paraId="203AF5B5" w14:textId="2E1BE0C3" w:rsidR="0092438A" w:rsidRDefault="0092438A" w:rsidP="0061488F">
      <w:pPr>
        <w:pStyle w:val="Listenabsatz"/>
        <w:numPr>
          <w:ilvl w:val="0"/>
          <w:numId w:val="4"/>
        </w:numPr>
        <w:spacing w:after="160" w:line="259" w:lineRule="auto"/>
      </w:pPr>
      <w:r>
        <w:t>Für die Lehre</w:t>
      </w:r>
    </w:p>
    <w:p w14:paraId="3328EE7A" w14:textId="23F6FFC7" w:rsidR="00603AFE" w:rsidRDefault="00603AFE" w:rsidP="0061488F">
      <w:pPr>
        <w:pStyle w:val="Listenabsatz"/>
        <w:numPr>
          <w:ilvl w:val="1"/>
          <w:numId w:val="4"/>
        </w:numPr>
        <w:spacing w:after="160" w:line="259" w:lineRule="auto"/>
      </w:pPr>
      <w:r>
        <w:t xml:space="preserve">Art. 6 Abs. 1 lit. e DSGVI i.V.m Art. 4 </w:t>
      </w:r>
      <w:r w:rsidR="005A1E8C">
        <w:t>BayDSG (Art. 55 Abs.</w:t>
      </w:r>
      <w:r w:rsidR="003512B2">
        <w:t xml:space="preserve"> 2</w:t>
      </w:r>
      <w:r w:rsidR="00ED08FD">
        <w:t xml:space="preserve"> BayHSchG)</w:t>
      </w:r>
    </w:p>
    <w:p w14:paraId="0F7DB0AC" w14:textId="77777777" w:rsidR="0061488F" w:rsidRDefault="0092438A" w:rsidP="0061488F">
      <w:pPr>
        <w:pStyle w:val="Listenabsatz"/>
        <w:numPr>
          <w:ilvl w:val="0"/>
          <w:numId w:val="4"/>
        </w:numPr>
        <w:spacing w:after="160" w:line="259" w:lineRule="auto"/>
      </w:pPr>
      <w:r>
        <w:t xml:space="preserve">Für die </w:t>
      </w:r>
      <w:r w:rsidR="00F5199F">
        <w:t xml:space="preserve">Beschäftigte und Bedienstete: </w:t>
      </w:r>
    </w:p>
    <w:p w14:paraId="53A6C91A" w14:textId="7EE76E41" w:rsidR="00337234" w:rsidRDefault="00337234" w:rsidP="0061488F">
      <w:pPr>
        <w:pStyle w:val="Listenabsatz"/>
        <w:numPr>
          <w:ilvl w:val="1"/>
          <w:numId w:val="4"/>
        </w:numPr>
        <w:spacing w:after="160" w:line="259" w:lineRule="auto"/>
      </w:pPr>
      <w:r>
        <w:t xml:space="preserve">Art. </w:t>
      </w:r>
      <w:r w:rsidR="00BB069A">
        <w:t>6 Abs. 1 lit. b DSGVO i.V.m. Art. 4 BayDSG</w:t>
      </w:r>
      <w:r w:rsidR="00150FF3">
        <w:t xml:space="preserve"> (</w:t>
      </w:r>
      <w:r w:rsidR="00C516F5">
        <w:t xml:space="preserve">§ </w:t>
      </w:r>
      <w:r w:rsidR="00150FF3">
        <w:t xml:space="preserve">106 </w:t>
      </w:r>
      <w:r w:rsidR="00C516F5" w:rsidRPr="00C516F5">
        <w:t>Gewerbeordnung</w:t>
      </w:r>
      <w:r w:rsidR="00C516F5">
        <w:t>)</w:t>
      </w:r>
    </w:p>
    <w:p w14:paraId="4BBE1C45" w14:textId="23F243C0" w:rsidR="00C516F5" w:rsidRPr="00E6752A" w:rsidRDefault="00C516F5" w:rsidP="0061488F">
      <w:pPr>
        <w:pStyle w:val="Listenabsatz"/>
        <w:numPr>
          <w:ilvl w:val="1"/>
          <w:numId w:val="4"/>
        </w:numPr>
        <w:spacing w:after="160" w:line="259" w:lineRule="auto"/>
      </w:pPr>
      <w:r w:rsidRPr="00E6752A">
        <w:t xml:space="preserve">Art. 6 Abs. 1 lit. </w:t>
      </w:r>
      <w:r w:rsidR="0043737F" w:rsidRPr="00E6752A">
        <w:t>c</w:t>
      </w:r>
      <w:r w:rsidRPr="00E6752A">
        <w:t xml:space="preserve"> DSGVO i.V.m. </w:t>
      </w:r>
      <w:r w:rsidR="00603AFE">
        <w:t>art. 4 BayDSG (</w:t>
      </w:r>
      <w:r w:rsidR="00E6752A" w:rsidRPr="00E6752A">
        <w:t>Art. 33 Ab</w:t>
      </w:r>
      <w:r w:rsidR="00E6752A">
        <w:t>s.</w:t>
      </w:r>
      <w:r w:rsidR="007F310A">
        <w:t xml:space="preserve"> 5 GG</w:t>
      </w:r>
      <w:r w:rsidR="00603AFE">
        <w:t>)</w:t>
      </w:r>
    </w:p>
    <w:p w14:paraId="133FD38A" w14:textId="06107A75" w:rsidR="00917B81" w:rsidRDefault="00F5199F" w:rsidP="0061488F">
      <w:pPr>
        <w:pStyle w:val="Listenabsatz"/>
        <w:numPr>
          <w:ilvl w:val="1"/>
          <w:numId w:val="4"/>
        </w:numPr>
        <w:spacing w:after="160" w:line="259" w:lineRule="auto"/>
      </w:pPr>
      <w:r>
        <w:t xml:space="preserve">Art. 6 Abs. </w:t>
      </w:r>
      <w:r w:rsidR="00803CBD">
        <w:t>1 lit. c DSGVO i.V.m. § 3</w:t>
      </w:r>
      <w:r w:rsidR="006A5827">
        <w:t>a Abs</w:t>
      </w:r>
      <w:r w:rsidR="00F178CC">
        <w:t xml:space="preserve">. 1 </w:t>
      </w:r>
      <w:r w:rsidR="006A5827">
        <w:t>ArbStättV</w:t>
      </w:r>
    </w:p>
    <w:p w14:paraId="624586A2" w14:textId="77777777" w:rsidR="001072B4" w:rsidRDefault="001072B4" w:rsidP="001072B4">
      <w:pPr>
        <w:pStyle w:val="Listenabsatz"/>
        <w:numPr>
          <w:ilvl w:val="0"/>
          <w:numId w:val="4"/>
        </w:numPr>
        <w:spacing w:before="40" w:line="240" w:lineRule="auto"/>
      </w:pPr>
      <w:r>
        <w:t>Für Aufzeichnungen von Veranstaltungen</w:t>
      </w:r>
    </w:p>
    <w:p w14:paraId="204AE3F9" w14:textId="4A2B82C4" w:rsidR="001072B4" w:rsidRDefault="001072B4" w:rsidP="001072B4">
      <w:pPr>
        <w:pStyle w:val="Listenabsatz"/>
        <w:numPr>
          <w:ilvl w:val="1"/>
          <w:numId w:val="4"/>
        </w:numPr>
        <w:spacing w:before="40" w:line="240" w:lineRule="auto"/>
      </w:pPr>
      <w:r>
        <w:t>Art. 6 Abs. 1 lit c DSGVO (bei gesetzlichen Dokumentationspflichten z.B. Prüfungen)</w:t>
      </w:r>
    </w:p>
    <w:p w14:paraId="7418893E" w14:textId="24F70F85" w:rsidR="001072B4" w:rsidRDefault="001072B4" w:rsidP="001072B4">
      <w:pPr>
        <w:pStyle w:val="Listenabsatz"/>
        <w:numPr>
          <w:ilvl w:val="1"/>
          <w:numId w:val="4"/>
        </w:numPr>
        <w:spacing w:before="40" w:line="240" w:lineRule="auto"/>
      </w:pPr>
      <w:r>
        <w:lastRenderedPageBreak/>
        <w:t>Art. 6 Abs. 1 lit. b DSGVO bei Verträgen mit Aufzeichnungsverpflichtungen</w:t>
      </w:r>
    </w:p>
    <w:p w14:paraId="41367C26" w14:textId="692FDC14" w:rsidR="001072B4" w:rsidRPr="00A354F9" w:rsidRDefault="001072B4" w:rsidP="001072B4">
      <w:pPr>
        <w:pStyle w:val="Listenabsatz"/>
        <w:numPr>
          <w:ilvl w:val="1"/>
          <w:numId w:val="4"/>
        </w:numPr>
        <w:spacing w:after="160" w:line="259" w:lineRule="auto"/>
      </w:pPr>
      <w:r w:rsidRPr="00166270">
        <w:t xml:space="preserve">Art. 6 Abs. 1 lit. a DSGVO </w:t>
      </w:r>
      <w:r>
        <w:t>in den übrigen Fällen</w:t>
      </w:r>
    </w:p>
    <w:p w14:paraId="28390855" w14:textId="77777777" w:rsidR="00A354F9" w:rsidRPr="00A354F9" w:rsidRDefault="00A354F9" w:rsidP="00A354F9">
      <w:pPr>
        <w:pStyle w:val="berschrift1"/>
      </w:pPr>
      <w:r w:rsidRPr="00A354F9">
        <w:t>Kategorien der personenbezogenen Daten</w:t>
      </w:r>
    </w:p>
    <w:tbl>
      <w:tblPr>
        <w:tblStyle w:val="Tabellenraster"/>
        <w:tblW w:w="5000" w:type="pct"/>
        <w:tblLook w:val="04A0" w:firstRow="1" w:lastRow="0" w:firstColumn="1" w:lastColumn="0" w:noHBand="0" w:noVBand="1"/>
      </w:tblPr>
      <w:tblGrid>
        <w:gridCol w:w="1205"/>
        <w:gridCol w:w="7857"/>
      </w:tblGrid>
      <w:tr w:rsidR="00A354F9" w:rsidRPr="00A354F9" w14:paraId="72546F05" w14:textId="77777777" w:rsidTr="00A354F9">
        <w:tc>
          <w:tcPr>
            <w:tcW w:w="665" w:type="pct"/>
            <w:hideMark/>
          </w:tcPr>
          <w:p w14:paraId="2F01713B" w14:textId="77777777" w:rsidR="00A354F9" w:rsidRPr="00A354F9" w:rsidRDefault="00A354F9" w:rsidP="00A354F9">
            <w:pPr>
              <w:spacing w:after="160" w:line="259" w:lineRule="auto"/>
              <w:rPr>
                <w:b/>
                <w:bCs/>
              </w:rPr>
            </w:pPr>
            <w:r w:rsidRPr="00A354F9">
              <w:rPr>
                <w:b/>
                <w:bCs/>
              </w:rPr>
              <w:t>Nummer</w:t>
            </w:r>
          </w:p>
        </w:tc>
        <w:tc>
          <w:tcPr>
            <w:tcW w:w="4335" w:type="pct"/>
            <w:hideMark/>
          </w:tcPr>
          <w:p w14:paraId="6561C1CB" w14:textId="77777777" w:rsidR="00A354F9" w:rsidRPr="00A354F9" w:rsidRDefault="00A354F9" w:rsidP="00A354F9">
            <w:pPr>
              <w:spacing w:after="160" w:line="259" w:lineRule="auto"/>
              <w:rPr>
                <w:b/>
                <w:bCs/>
              </w:rPr>
            </w:pPr>
            <w:r w:rsidRPr="00A354F9">
              <w:rPr>
                <w:b/>
                <w:bCs/>
              </w:rPr>
              <w:t>Bezeichnung der Daten</w:t>
            </w:r>
          </w:p>
        </w:tc>
      </w:tr>
      <w:tr w:rsidR="00A354F9" w:rsidRPr="00A354F9" w14:paraId="64EECC69" w14:textId="77777777" w:rsidTr="00213223">
        <w:tc>
          <w:tcPr>
            <w:tcW w:w="665" w:type="pct"/>
          </w:tcPr>
          <w:p w14:paraId="2C3410B3" w14:textId="676A4132" w:rsidR="008C239C" w:rsidRPr="00A354F9" w:rsidRDefault="0068625E" w:rsidP="008C239C">
            <w:pPr>
              <w:spacing w:after="160" w:line="259" w:lineRule="auto"/>
            </w:pPr>
            <w:r>
              <w:t>1</w:t>
            </w:r>
          </w:p>
        </w:tc>
        <w:tc>
          <w:tcPr>
            <w:tcW w:w="4335" w:type="pct"/>
          </w:tcPr>
          <w:p w14:paraId="6BF65A30" w14:textId="023821F4" w:rsidR="00327BF1" w:rsidRPr="00A354F9" w:rsidRDefault="001D6F8A" w:rsidP="001D6F8A">
            <w:pPr>
              <w:spacing w:after="160" w:line="259" w:lineRule="auto"/>
            </w:pPr>
            <w:r>
              <w:t>Benutzerprofil: Vorname, Nachname, Telefon (optional), E-Mail, Passwort (wenn SSO nicht verwendet wird), Profilbild (optional), Abteilung (optional)</w:t>
            </w:r>
          </w:p>
        </w:tc>
      </w:tr>
      <w:tr w:rsidR="00A354F9" w:rsidRPr="00A354F9" w14:paraId="30B918D6" w14:textId="77777777" w:rsidTr="00213223">
        <w:tc>
          <w:tcPr>
            <w:tcW w:w="665" w:type="pct"/>
          </w:tcPr>
          <w:p w14:paraId="3824C46B" w14:textId="7F7FDDBB" w:rsidR="008C239C" w:rsidRPr="00A354F9" w:rsidRDefault="0068625E" w:rsidP="008C239C">
            <w:pPr>
              <w:spacing w:after="160" w:line="259" w:lineRule="auto"/>
            </w:pPr>
            <w:r>
              <w:t>2</w:t>
            </w:r>
          </w:p>
        </w:tc>
        <w:tc>
          <w:tcPr>
            <w:tcW w:w="4335" w:type="pct"/>
          </w:tcPr>
          <w:p w14:paraId="75900267" w14:textId="057CE2EB" w:rsidR="00A354F9" w:rsidRPr="00A354F9" w:rsidRDefault="00A52450" w:rsidP="00856A37">
            <w:pPr>
              <w:spacing w:after="160" w:line="259" w:lineRule="auto"/>
            </w:pPr>
            <w:r w:rsidRPr="00A52450">
              <w:t>Meeting-Metadaten: Thema, Beschreibung (optional), Teilnehmer-IP-Adressen, Geräte-/Hardware-Informationen</w:t>
            </w:r>
          </w:p>
        </w:tc>
      </w:tr>
      <w:tr w:rsidR="00327BF1" w:rsidRPr="00A354F9" w14:paraId="3FDC802D" w14:textId="77777777" w:rsidTr="00213223">
        <w:tc>
          <w:tcPr>
            <w:tcW w:w="665" w:type="pct"/>
          </w:tcPr>
          <w:p w14:paraId="47FAA77A" w14:textId="0416F349" w:rsidR="00327BF1" w:rsidRPr="00A354F9" w:rsidRDefault="0068625E" w:rsidP="008C239C">
            <w:pPr>
              <w:spacing w:after="160" w:line="259" w:lineRule="auto"/>
            </w:pPr>
            <w:r>
              <w:t>3</w:t>
            </w:r>
            <w:r w:rsidR="008C239C">
              <w:t>t</w:t>
            </w:r>
          </w:p>
        </w:tc>
        <w:tc>
          <w:tcPr>
            <w:tcW w:w="4335" w:type="pct"/>
          </w:tcPr>
          <w:p w14:paraId="75F7D613" w14:textId="4F9A2533" w:rsidR="00327BF1" w:rsidRDefault="00E8321C" w:rsidP="00C01BDE">
            <w:pPr>
              <w:spacing w:after="160" w:line="259" w:lineRule="auto"/>
            </w:pPr>
            <w:r>
              <w:t xml:space="preserve">Meeting-Aufzeichnungen: </w:t>
            </w:r>
            <w:r w:rsidR="00C01BDE">
              <w:t>Mp4 aller Video- und Audioaufnahmen und Präsentationen, M4A aller Audioaufnahmen, Textdatei aller in der Besprechung, Chats, Audio-Protokolldatei</w:t>
            </w:r>
          </w:p>
        </w:tc>
      </w:tr>
      <w:tr w:rsidR="00327BF1" w:rsidRPr="00A354F9" w14:paraId="37D8D2F9" w14:textId="77777777" w:rsidTr="00A354F9">
        <w:tc>
          <w:tcPr>
            <w:tcW w:w="665" w:type="pct"/>
          </w:tcPr>
          <w:p w14:paraId="092E2022" w14:textId="3CA31F4E" w:rsidR="00327BF1" w:rsidRPr="00A354F9" w:rsidRDefault="0068625E" w:rsidP="00327BF1">
            <w:pPr>
              <w:spacing w:after="160" w:line="259" w:lineRule="auto"/>
            </w:pPr>
            <w:r>
              <w:t>4</w:t>
            </w:r>
          </w:p>
        </w:tc>
        <w:tc>
          <w:tcPr>
            <w:tcW w:w="4335" w:type="pct"/>
          </w:tcPr>
          <w:p w14:paraId="49936D67" w14:textId="5618849C" w:rsidR="00327BF1" w:rsidRPr="00A354F9" w:rsidRDefault="00D347AE" w:rsidP="00327BF1">
            <w:pPr>
              <w:spacing w:after="160" w:line="259" w:lineRule="auto"/>
            </w:pPr>
            <w:r w:rsidRPr="00D347AE">
              <w:t>IM-Chat-Protokolle</w:t>
            </w:r>
          </w:p>
        </w:tc>
      </w:tr>
      <w:tr w:rsidR="00D347AE" w:rsidRPr="00A354F9" w14:paraId="7A4A57BE" w14:textId="77777777" w:rsidTr="00A354F9">
        <w:tc>
          <w:tcPr>
            <w:tcW w:w="665" w:type="pct"/>
          </w:tcPr>
          <w:p w14:paraId="76752787" w14:textId="4521B93C" w:rsidR="00D347AE" w:rsidRPr="00A354F9" w:rsidRDefault="0068625E" w:rsidP="00327BF1">
            <w:pPr>
              <w:spacing w:after="160" w:line="259" w:lineRule="auto"/>
            </w:pPr>
            <w:r>
              <w:t>5</w:t>
            </w:r>
          </w:p>
        </w:tc>
        <w:tc>
          <w:tcPr>
            <w:tcW w:w="4335" w:type="pct"/>
          </w:tcPr>
          <w:p w14:paraId="077A4F8C" w14:textId="619A67EB" w:rsidR="00D347AE" w:rsidRPr="00A354F9" w:rsidRDefault="0068625E" w:rsidP="0068625E">
            <w:pPr>
              <w:spacing w:after="160" w:line="259" w:lineRule="auto"/>
            </w:pPr>
            <w:r>
              <w:t>Telefonie-Nutzungsdaten (optional): Rufnummer des Anrufers, Rufnummer des Anrufers, Name des Landes, IP-Adresse, 911-Adresse (registriert Dienstadresse), Start- und Endzeit, Hostname, Host-E-Mail, MAC-Adresse des verwendeten Geräts</w:t>
            </w:r>
          </w:p>
        </w:tc>
      </w:tr>
      <w:tr w:rsidR="003D16E2" w:rsidRPr="00A354F9" w14:paraId="6C5E7E6A" w14:textId="77777777" w:rsidTr="00A354F9">
        <w:tc>
          <w:tcPr>
            <w:tcW w:w="665" w:type="pct"/>
          </w:tcPr>
          <w:p w14:paraId="0B52BAD9" w14:textId="4924DCA8" w:rsidR="003D16E2" w:rsidRDefault="003D16E2" w:rsidP="00327BF1">
            <w:pPr>
              <w:spacing w:after="160" w:line="259" w:lineRule="auto"/>
            </w:pPr>
            <w:r>
              <w:t>6</w:t>
            </w:r>
          </w:p>
        </w:tc>
        <w:tc>
          <w:tcPr>
            <w:tcW w:w="4335" w:type="pct"/>
          </w:tcPr>
          <w:p w14:paraId="7FD6BEB1" w14:textId="5AAE6E71" w:rsidR="003D16E2" w:rsidRDefault="00172968" w:rsidP="0068625E">
            <w:pPr>
              <w:spacing w:after="160" w:line="259" w:lineRule="auto"/>
            </w:pPr>
            <w:r>
              <w:t>Rechnungs- und Beschaffungsdaten</w:t>
            </w:r>
          </w:p>
        </w:tc>
      </w:tr>
    </w:tbl>
    <w:p w14:paraId="14226A09" w14:textId="77777777" w:rsidR="00A354F9" w:rsidRPr="00A354F9" w:rsidRDefault="00A354F9" w:rsidP="00A354F9">
      <w:pPr>
        <w:pStyle w:val="berschrift1"/>
      </w:pPr>
      <w:r w:rsidRPr="00A354F9">
        <w:t>Kategorien der betroffenen Personen</w:t>
      </w:r>
    </w:p>
    <w:tbl>
      <w:tblPr>
        <w:tblStyle w:val="Tabellenraster"/>
        <w:tblW w:w="5000" w:type="pct"/>
        <w:tblLook w:val="04A0" w:firstRow="1" w:lastRow="0" w:firstColumn="1" w:lastColumn="0" w:noHBand="0" w:noVBand="1"/>
      </w:tblPr>
      <w:tblGrid>
        <w:gridCol w:w="4944"/>
        <w:gridCol w:w="4118"/>
      </w:tblGrid>
      <w:tr w:rsidR="00A354F9" w:rsidRPr="00A354F9" w14:paraId="4C81F54E" w14:textId="77777777" w:rsidTr="00A354F9">
        <w:tc>
          <w:tcPr>
            <w:tcW w:w="2728" w:type="pct"/>
            <w:hideMark/>
          </w:tcPr>
          <w:p w14:paraId="074A8B01" w14:textId="77777777" w:rsidR="00A354F9" w:rsidRPr="00A354F9" w:rsidRDefault="00A354F9" w:rsidP="00A354F9">
            <w:pPr>
              <w:spacing w:after="160" w:line="259" w:lineRule="auto"/>
              <w:rPr>
                <w:b/>
                <w:bCs/>
              </w:rPr>
            </w:pPr>
            <w:r w:rsidRPr="00A354F9">
              <w:rPr>
                <w:b/>
                <w:bCs/>
              </w:rPr>
              <w:t>Nummer nach Datenkategorien</w:t>
            </w:r>
          </w:p>
        </w:tc>
        <w:tc>
          <w:tcPr>
            <w:tcW w:w="2272" w:type="pct"/>
            <w:hideMark/>
          </w:tcPr>
          <w:p w14:paraId="51C34D86" w14:textId="77777777" w:rsidR="00A354F9" w:rsidRPr="00A354F9" w:rsidRDefault="00A354F9" w:rsidP="00A354F9">
            <w:pPr>
              <w:spacing w:after="160" w:line="259" w:lineRule="auto"/>
              <w:rPr>
                <w:b/>
                <w:bCs/>
              </w:rPr>
            </w:pPr>
            <w:r w:rsidRPr="00A354F9">
              <w:rPr>
                <w:b/>
                <w:bCs/>
              </w:rPr>
              <w:t>Bezeichnung der Daten</w:t>
            </w:r>
          </w:p>
        </w:tc>
      </w:tr>
      <w:tr w:rsidR="00A354F9" w:rsidRPr="00A354F9" w14:paraId="3F0F4E82" w14:textId="77777777" w:rsidTr="00213223">
        <w:tc>
          <w:tcPr>
            <w:tcW w:w="2728" w:type="pct"/>
          </w:tcPr>
          <w:p w14:paraId="30AC9332" w14:textId="046D234F" w:rsidR="00A354F9" w:rsidRPr="00A354F9" w:rsidRDefault="00595AE9" w:rsidP="00A354F9">
            <w:pPr>
              <w:spacing w:after="160" w:line="259" w:lineRule="auto"/>
            </w:pPr>
            <w:r>
              <w:t>1-5</w:t>
            </w:r>
          </w:p>
        </w:tc>
        <w:tc>
          <w:tcPr>
            <w:tcW w:w="2272" w:type="pct"/>
          </w:tcPr>
          <w:p w14:paraId="6797A12E" w14:textId="2E7499F4" w:rsidR="00A354F9" w:rsidRPr="00A354F9" w:rsidRDefault="00D903FE" w:rsidP="00A354F9">
            <w:pPr>
              <w:spacing w:after="160" w:line="259" w:lineRule="auto"/>
            </w:pPr>
            <w:r>
              <w:t>Nutzende</w:t>
            </w:r>
          </w:p>
        </w:tc>
      </w:tr>
      <w:tr w:rsidR="00A354F9" w:rsidRPr="00A354F9" w14:paraId="6BA1D0A7" w14:textId="77777777" w:rsidTr="00213223">
        <w:tc>
          <w:tcPr>
            <w:tcW w:w="2728" w:type="pct"/>
          </w:tcPr>
          <w:p w14:paraId="4943A12D" w14:textId="7234BC4D" w:rsidR="00A354F9" w:rsidRPr="00A354F9" w:rsidRDefault="00330CD5" w:rsidP="00A354F9">
            <w:pPr>
              <w:spacing w:after="160" w:line="259" w:lineRule="auto"/>
            </w:pPr>
            <w:r>
              <w:t>3-4</w:t>
            </w:r>
          </w:p>
        </w:tc>
        <w:tc>
          <w:tcPr>
            <w:tcW w:w="2272" w:type="pct"/>
          </w:tcPr>
          <w:p w14:paraId="428B0DEB" w14:textId="345AF592" w:rsidR="00A354F9" w:rsidRPr="00A354F9" w:rsidRDefault="00330CD5" w:rsidP="00A354F9">
            <w:pPr>
              <w:spacing w:after="160" w:line="259" w:lineRule="auto"/>
            </w:pPr>
            <w:r>
              <w:t xml:space="preserve">In der Kommunikation erwähnte </w:t>
            </w:r>
            <w:r w:rsidR="00014207">
              <w:t>weitere Personen</w:t>
            </w:r>
          </w:p>
        </w:tc>
      </w:tr>
      <w:tr w:rsidR="003A48A0" w:rsidRPr="00A354F9" w14:paraId="3F354D96" w14:textId="77777777" w:rsidTr="00213223">
        <w:tc>
          <w:tcPr>
            <w:tcW w:w="2728" w:type="pct"/>
          </w:tcPr>
          <w:p w14:paraId="085011A1" w14:textId="7AEE5041" w:rsidR="003A48A0" w:rsidRDefault="003A48A0" w:rsidP="00A354F9">
            <w:pPr>
              <w:spacing w:after="160" w:line="259" w:lineRule="auto"/>
            </w:pPr>
            <w:r>
              <w:t>6</w:t>
            </w:r>
          </w:p>
        </w:tc>
        <w:tc>
          <w:tcPr>
            <w:tcW w:w="2272" w:type="pct"/>
          </w:tcPr>
          <w:p w14:paraId="02C0F2F5" w14:textId="31B078CF" w:rsidR="003A48A0" w:rsidRDefault="003A48A0" w:rsidP="00A354F9">
            <w:pPr>
              <w:spacing w:after="160" w:line="259" w:lineRule="auto"/>
            </w:pPr>
            <w:r>
              <w:t>Beschaffer, Anforderer</w:t>
            </w:r>
          </w:p>
        </w:tc>
      </w:tr>
    </w:tbl>
    <w:p w14:paraId="438E7884" w14:textId="77777777" w:rsidR="00A354F9" w:rsidRPr="00A354F9" w:rsidRDefault="00A354F9" w:rsidP="00A354F9">
      <w:pPr>
        <w:pStyle w:val="berschrift1"/>
      </w:pPr>
      <w:r w:rsidRPr="00A354F9">
        <w:t>Kategorien der Empfänger, denen die personenbezogenen Daten offengelegt worden sind oder noch offengelegt werden, einschließlich Empfänger in Drittländern oder internationalen Organisationen</w:t>
      </w:r>
    </w:p>
    <w:tbl>
      <w:tblPr>
        <w:tblStyle w:val="Tabellenraster"/>
        <w:tblW w:w="5000" w:type="pct"/>
        <w:tblLayout w:type="fixed"/>
        <w:tblLook w:val="04A0" w:firstRow="1" w:lastRow="0" w:firstColumn="1" w:lastColumn="0" w:noHBand="0" w:noVBand="1"/>
      </w:tblPr>
      <w:tblGrid>
        <w:gridCol w:w="704"/>
        <w:gridCol w:w="2268"/>
        <w:gridCol w:w="3544"/>
        <w:gridCol w:w="2546"/>
      </w:tblGrid>
      <w:tr w:rsidR="006979E2" w:rsidRPr="00A354F9" w14:paraId="36D6D1EE" w14:textId="77777777" w:rsidTr="006979E2">
        <w:tc>
          <w:tcPr>
            <w:tcW w:w="388" w:type="pct"/>
            <w:hideMark/>
          </w:tcPr>
          <w:p w14:paraId="4BB24AF3" w14:textId="77777777" w:rsidR="006979E2" w:rsidRPr="00A354F9" w:rsidRDefault="006979E2" w:rsidP="006979E2">
            <w:pPr>
              <w:spacing w:after="160" w:line="259" w:lineRule="auto"/>
              <w:rPr>
                <w:b/>
                <w:bCs/>
              </w:rPr>
            </w:pPr>
            <w:r>
              <w:rPr>
                <w:b/>
                <w:bCs/>
              </w:rPr>
              <w:t>Nr.</w:t>
            </w:r>
          </w:p>
        </w:tc>
        <w:tc>
          <w:tcPr>
            <w:tcW w:w="1251" w:type="pct"/>
            <w:hideMark/>
          </w:tcPr>
          <w:p w14:paraId="11F234CE" w14:textId="77777777" w:rsidR="006979E2" w:rsidRPr="00A354F9" w:rsidRDefault="006979E2" w:rsidP="00A354F9">
            <w:pPr>
              <w:spacing w:after="160" w:line="259" w:lineRule="auto"/>
              <w:rPr>
                <w:b/>
                <w:bCs/>
              </w:rPr>
            </w:pPr>
            <w:r w:rsidRPr="00A354F9">
              <w:rPr>
                <w:b/>
                <w:bCs/>
              </w:rPr>
              <w:t>Empfänger</w:t>
            </w:r>
          </w:p>
        </w:tc>
        <w:tc>
          <w:tcPr>
            <w:tcW w:w="1955" w:type="pct"/>
            <w:hideMark/>
          </w:tcPr>
          <w:p w14:paraId="13E0853A" w14:textId="77777777" w:rsidR="006979E2" w:rsidRPr="00A354F9" w:rsidRDefault="006979E2" w:rsidP="00A354F9">
            <w:pPr>
              <w:spacing w:after="160" w:line="259" w:lineRule="auto"/>
              <w:rPr>
                <w:b/>
                <w:bCs/>
              </w:rPr>
            </w:pPr>
            <w:r w:rsidRPr="00A354F9">
              <w:rPr>
                <w:b/>
                <w:bCs/>
              </w:rPr>
              <w:t>Anlass der Offenlegung</w:t>
            </w:r>
          </w:p>
        </w:tc>
        <w:tc>
          <w:tcPr>
            <w:tcW w:w="1405" w:type="pct"/>
          </w:tcPr>
          <w:p w14:paraId="2763B300" w14:textId="77777777" w:rsidR="006979E2" w:rsidRPr="00A354F9" w:rsidRDefault="006979E2" w:rsidP="00A354F9">
            <w:pPr>
              <w:spacing w:after="160" w:line="259" w:lineRule="auto"/>
              <w:rPr>
                <w:b/>
                <w:bCs/>
              </w:rPr>
            </w:pPr>
            <w:r>
              <w:rPr>
                <w:b/>
                <w:bCs/>
              </w:rPr>
              <w:t>Speicherort</w:t>
            </w:r>
          </w:p>
        </w:tc>
      </w:tr>
      <w:tr w:rsidR="006979E2" w:rsidRPr="00626CAF" w14:paraId="110BFDAB" w14:textId="77777777" w:rsidTr="00213223">
        <w:tc>
          <w:tcPr>
            <w:tcW w:w="388" w:type="pct"/>
          </w:tcPr>
          <w:p w14:paraId="6A406383" w14:textId="61299294" w:rsidR="006979E2" w:rsidRPr="00A354F9" w:rsidRDefault="00A83B55" w:rsidP="00A354F9">
            <w:pPr>
              <w:spacing w:after="160" w:line="259" w:lineRule="auto"/>
            </w:pPr>
            <w:r>
              <w:t>1-5</w:t>
            </w:r>
          </w:p>
        </w:tc>
        <w:tc>
          <w:tcPr>
            <w:tcW w:w="1251" w:type="pct"/>
          </w:tcPr>
          <w:p w14:paraId="43368071" w14:textId="59662150" w:rsidR="006979E2" w:rsidRPr="00A354F9" w:rsidRDefault="0062707A" w:rsidP="00A354F9">
            <w:pPr>
              <w:spacing w:after="160" w:line="259" w:lineRule="auto"/>
              <w:rPr>
                <w:lang w:val="en-US"/>
              </w:rPr>
            </w:pPr>
            <w:r w:rsidRPr="0062707A">
              <w:rPr>
                <w:lang w:val="en-US"/>
              </w:rPr>
              <w:t>Zoom Video Communications, Inc.</w:t>
            </w:r>
          </w:p>
        </w:tc>
        <w:tc>
          <w:tcPr>
            <w:tcW w:w="1955" w:type="pct"/>
          </w:tcPr>
          <w:p w14:paraId="1CEA3F74" w14:textId="50D89840" w:rsidR="006979E2" w:rsidRPr="00925523" w:rsidRDefault="00D66A4D" w:rsidP="00A354F9">
            <w:pPr>
              <w:spacing w:after="160" w:line="259" w:lineRule="auto"/>
            </w:pPr>
            <w:r w:rsidRPr="00925523">
              <w:t>Auftragsverarbeitung</w:t>
            </w:r>
          </w:p>
        </w:tc>
        <w:tc>
          <w:tcPr>
            <w:tcW w:w="1405" w:type="pct"/>
          </w:tcPr>
          <w:p w14:paraId="6190F4CB" w14:textId="2CB9A399" w:rsidR="006979E2" w:rsidRPr="00925523" w:rsidRDefault="00925523" w:rsidP="00777617">
            <w:r w:rsidRPr="00925523">
              <w:t>Vereinigte Staaten von Amerika</w:t>
            </w:r>
            <w:r w:rsidR="006030F2">
              <w:t xml:space="preserve"> und Un</w:t>
            </w:r>
            <w:r w:rsidR="00C07F8C">
              <w:t>terauftragsverarbeiter</w:t>
            </w:r>
          </w:p>
        </w:tc>
      </w:tr>
      <w:tr w:rsidR="006979E2" w:rsidRPr="00777617" w14:paraId="09EF67E0" w14:textId="77777777" w:rsidTr="006979E2">
        <w:tc>
          <w:tcPr>
            <w:tcW w:w="388" w:type="pct"/>
          </w:tcPr>
          <w:p w14:paraId="140F4E82" w14:textId="6987CF88" w:rsidR="006979E2" w:rsidRPr="00626CAF" w:rsidRDefault="006979E2" w:rsidP="00A354F9">
            <w:pPr>
              <w:spacing w:after="160" w:line="259" w:lineRule="auto"/>
            </w:pPr>
          </w:p>
        </w:tc>
        <w:tc>
          <w:tcPr>
            <w:tcW w:w="1251" w:type="pct"/>
          </w:tcPr>
          <w:p w14:paraId="2A438C59" w14:textId="108C182A" w:rsidR="006979E2" w:rsidRPr="00626CAF" w:rsidRDefault="006979E2" w:rsidP="00A354F9">
            <w:pPr>
              <w:spacing w:after="160" w:line="259" w:lineRule="auto"/>
            </w:pPr>
          </w:p>
        </w:tc>
        <w:tc>
          <w:tcPr>
            <w:tcW w:w="1955" w:type="pct"/>
          </w:tcPr>
          <w:p w14:paraId="7C6BF1DE" w14:textId="754D76FD" w:rsidR="006979E2" w:rsidRPr="00925523" w:rsidRDefault="003118BF" w:rsidP="00A354F9">
            <w:pPr>
              <w:spacing w:after="160" w:line="259" w:lineRule="auto"/>
            </w:pPr>
            <w:r w:rsidRPr="00925523">
              <w:t>Unterauftragsverarbeiter</w:t>
            </w:r>
          </w:p>
        </w:tc>
        <w:tc>
          <w:tcPr>
            <w:tcW w:w="1405" w:type="pct"/>
          </w:tcPr>
          <w:p w14:paraId="542AD30C" w14:textId="2690AFF8" w:rsidR="006979E2" w:rsidRPr="00925523" w:rsidRDefault="006979E2" w:rsidP="00A354F9">
            <w:pPr>
              <w:spacing w:after="160" w:line="259" w:lineRule="auto"/>
            </w:pPr>
          </w:p>
        </w:tc>
      </w:tr>
      <w:tr w:rsidR="006979E2" w:rsidRPr="00777617" w14:paraId="6676EBE9" w14:textId="77777777" w:rsidTr="006979E2">
        <w:tc>
          <w:tcPr>
            <w:tcW w:w="388" w:type="pct"/>
          </w:tcPr>
          <w:p w14:paraId="4070C129" w14:textId="6C1AE59F" w:rsidR="006979E2" w:rsidRPr="00777617" w:rsidRDefault="006979E2" w:rsidP="00EC6B8B">
            <w:pPr>
              <w:spacing w:after="160" w:line="259" w:lineRule="auto"/>
              <w:rPr>
                <w:lang w:val="en-US"/>
              </w:rPr>
            </w:pPr>
          </w:p>
        </w:tc>
        <w:tc>
          <w:tcPr>
            <w:tcW w:w="1251" w:type="pct"/>
          </w:tcPr>
          <w:p w14:paraId="40AF11FE" w14:textId="7DAB6B89" w:rsidR="006979E2" w:rsidRPr="00777617" w:rsidRDefault="001A6668" w:rsidP="00EC6B8B">
            <w:pPr>
              <w:spacing w:after="160" w:line="259" w:lineRule="auto"/>
              <w:rPr>
                <w:lang w:val="en-US"/>
              </w:rPr>
            </w:pPr>
            <w:r w:rsidRPr="001A6668">
              <w:rPr>
                <w:lang w:val="en-US"/>
              </w:rPr>
              <w:t>People.ai</w:t>
            </w:r>
          </w:p>
        </w:tc>
        <w:tc>
          <w:tcPr>
            <w:tcW w:w="1955" w:type="pct"/>
          </w:tcPr>
          <w:p w14:paraId="17521DC9" w14:textId="2CB9F9BB" w:rsidR="006979E2" w:rsidRPr="00925523" w:rsidRDefault="00925523" w:rsidP="00EC6B8B">
            <w:pPr>
              <w:spacing w:after="160" w:line="259" w:lineRule="auto"/>
            </w:pPr>
            <w:r w:rsidRPr="00925523">
              <w:t>Vertreib</w:t>
            </w:r>
            <w:r w:rsidR="008C58A8">
              <w:t>, CRM</w:t>
            </w:r>
          </w:p>
        </w:tc>
        <w:tc>
          <w:tcPr>
            <w:tcW w:w="1405" w:type="pct"/>
          </w:tcPr>
          <w:p w14:paraId="444D59B2" w14:textId="68A42318" w:rsidR="006979E2" w:rsidRPr="00925523" w:rsidRDefault="00925523" w:rsidP="00EC6B8B">
            <w:pPr>
              <w:spacing w:after="160" w:line="259" w:lineRule="auto"/>
            </w:pPr>
            <w:r w:rsidRPr="00925523">
              <w:t>Vereinigte Staaten</w:t>
            </w:r>
            <w:r>
              <w:t xml:space="preserve"> von Amerika</w:t>
            </w:r>
          </w:p>
        </w:tc>
      </w:tr>
      <w:tr w:rsidR="00343894" w:rsidRPr="00777617" w14:paraId="09DC7DE1" w14:textId="77777777" w:rsidTr="006979E2">
        <w:tc>
          <w:tcPr>
            <w:tcW w:w="388" w:type="pct"/>
          </w:tcPr>
          <w:p w14:paraId="35DF0F3F" w14:textId="77777777" w:rsidR="00343894" w:rsidRPr="00777617" w:rsidRDefault="00343894" w:rsidP="00343894">
            <w:pPr>
              <w:spacing w:after="160" w:line="259" w:lineRule="auto"/>
              <w:rPr>
                <w:lang w:val="en-US"/>
              </w:rPr>
            </w:pPr>
          </w:p>
        </w:tc>
        <w:tc>
          <w:tcPr>
            <w:tcW w:w="1251" w:type="pct"/>
          </w:tcPr>
          <w:p w14:paraId="4958BCD4" w14:textId="64A7038D" w:rsidR="00343894" w:rsidRPr="001A6668" w:rsidRDefault="00343894" w:rsidP="00343894">
            <w:pPr>
              <w:spacing w:after="160" w:line="259" w:lineRule="auto"/>
              <w:rPr>
                <w:lang w:val="en-US"/>
              </w:rPr>
            </w:pPr>
            <w:proofErr w:type="spellStart"/>
            <w:r>
              <w:rPr>
                <w:shd w:val="clear" w:color="auto" w:fill="00FFFF"/>
                <w:lang w:eastAsia="de-DE"/>
              </w:rPr>
              <w:t>Sendgrid</w:t>
            </w:r>
            <w:proofErr w:type="spellEnd"/>
            <w:r>
              <w:rPr>
                <w:shd w:val="clear" w:color="auto" w:fill="00FFFF"/>
                <w:lang w:eastAsia="de-DE"/>
              </w:rPr>
              <w:t xml:space="preserve"> </w:t>
            </w:r>
            <w:proofErr w:type="spellStart"/>
            <w:r>
              <w:rPr>
                <w:shd w:val="clear" w:color="auto" w:fill="00FFFF"/>
                <w:lang w:eastAsia="de-DE"/>
              </w:rPr>
              <w:t>by</w:t>
            </w:r>
            <w:proofErr w:type="spellEnd"/>
            <w:r>
              <w:rPr>
                <w:shd w:val="clear" w:color="auto" w:fill="00FFFF"/>
                <w:lang w:eastAsia="de-DE"/>
              </w:rPr>
              <w:t xml:space="preserve"> </w:t>
            </w:r>
            <w:proofErr w:type="spellStart"/>
            <w:r>
              <w:rPr>
                <w:shd w:val="clear" w:color="auto" w:fill="00FFFF"/>
                <w:lang w:eastAsia="de-DE"/>
              </w:rPr>
              <w:t>Twilio</w:t>
            </w:r>
            <w:proofErr w:type="spellEnd"/>
          </w:p>
        </w:tc>
        <w:tc>
          <w:tcPr>
            <w:tcW w:w="1955" w:type="pct"/>
          </w:tcPr>
          <w:p w14:paraId="6C50DBCB" w14:textId="764022C5" w:rsidR="00343894" w:rsidRPr="00925523" w:rsidRDefault="00343894" w:rsidP="00343894">
            <w:pPr>
              <w:spacing w:after="160" w:line="259" w:lineRule="auto"/>
            </w:pPr>
            <w:r>
              <w:rPr>
                <w:shd w:val="clear" w:color="auto" w:fill="00FFFF"/>
              </w:rPr>
              <w:t>E-Mail-Benachrichtigungen</w:t>
            </w:r>
          </w:p>
        </w:tc>
        <w:tc>
          <w:tcPr>
            <w:tcW w:w="1405" w:type="pct"/>
          </w:tcPr>
          <w:p w14:paraId="750CDF39" w14:textId="1582C4A6" w:rsidR="00343894" w:rsidRPr="00925523" w:rsidRDefault="00343894" w:rsidP="00343894">
            <w:pPr>
              <w:spacing w:after="160" w:line="259" w:lineRule="auto"/>
            </w:pPr>
            <w:r>
              <w:rPr>
                <w:shd w:val="clear" w:color="auto" w:fill="00FFFF"/>
              </w:rPr>
              <w:t>Vereinigte Staaten von Amerika</w:t>
            </w:r>
          </w:p>
        </w:tc>
      </w:tr>
      <w:tr w:rsidR="00343894" w:rsidRPr="00777617" w14:paraId="7DC13FB4" w14:textId="77777777" w:rsidTr="006979E2">
        <w:tc>
          <w:tcPr>
            <w:tcW w:w="388" w:type="pct"/>
          </w:tcPr>
          <w:p w14:paraId="15455B1B" w14:textId="77777777" w:rsidR="00343894" w:rsidRPr="00777617" w:rsidRDefault="00343894" w:rsidP="00343894">
            <w:pPr>
              <w:spacing w:after="160" w:line="259" w:lineRule="auto"/>
              <w:rPr>
                <w:lang w:val="en-US"/>
              </w:rPr>
            </w:pPr>
          </w:p>
        </w:tc>
        <w:tc>
          <w:tcPr>
            <w:tcW w:w="1251" w:type="pct"/>
          </w:tcPr>
          <w:p w14:paraId="20C4D5EE" w14:textId="54BEC921" w:rsidR="00343894" w:rsidRPr="001A6668" w:rsidRDefault="00343894" w:rsidP="00343894">
            <w:pPr>
              <w:spacing w:after="160" w:line="259" w:lineRule="auto"/>
              <w:rPr>
                <w:lang w:val="en-US"/>
              </w:rPr>
            </w:pPr>
            <w:r>
              <w:rPr>
                <w:shd w:val="clear" w:color="auto" w:fill="00FFFF"/>
                <w:lang w:eastAsia="de-DE"/>
              </w:rPr>
              <w:t>Task US</w:t>
            </w:r>
          </w:p>
        </w:tc>
        <w:tc>
          <w:tcPr>
            <w:tcW w:w="1955" w:type="pct"/>
          </w:tcPr>
          <w:p w14:paraId="3A4FCB00" w14:textId="3636D300" w:rsidR="00343894" w:rsidRPr="00925523" w:rsidRDefault="00343894" w:rsidP="00343894">
            <w:pPr>
              <w:spacing w:after="160" w:line="259" w:lineRule="auto"/>
            </w:pPr>
            <w:r>
              <w:rPr>
                <w:shd w:val="clear" w:color="auto" w:fill="00FFFF"/>
              </w:rPr>
              <w:t>Rechnungsstellung und technische Unterstützung</w:t>
            </w:r>
          </w:p>
        </w:tc>
        <w:tc>
          <w:tcPr>
            <w:tcW w:w="1405" w:type="pct"/>
          </w:tcPr>
          <w:p w14:paraId="222B9A0A" w14:textId="704982EF" w:rsidR="00343894" w:rsidRPr="00925523" w:rsidRDefault="00343894" w:rsidP="00343894">
            <w:pPr>
              <w:spacing w:after="160" w:line="259" w:lineRule="auto"/>
            </w:pPr>
            <w:r>
              <w:rPr>
                <w:shd w:val="clear" w:color="auto" w:fill="00FFFF"/>
              </w:rPr>
              <w:t>Philippinen</w:t>
            </w:r>
          </w:p>
        </w:tc>
      </w:tr>
      <w:tr w:rsidR="00343894" w:rsidRPr="00777617" w14:paraId="6FE75D65" w14:textId="77777777" w:rsidTr="006979E2">
        <w:tc>
          <w:tcPr>
            <w:tcW w:w="388" w:type="pct"/>
          </w:tcPr>
          <w:p w14:paraId="4CD561CE" w14:textId="77777777" w:rsidR="00343894" w:rsidRPr="00777617" w:rsidRDefault="00343894" w:rsidP="00343894">
            <w:pPr>
              <w:spacing w:after="160" w:line="259" w:lineRule="auto"/>
              <w:rPr>
                <w:lang w:val="en-US"/>
              </w:rPr>
            </w:pPr>
          </w:p>
        </w:tc>
        <w:tc>
          <w:tcPr>
            <w:tcW w:w="1251" w:type="pct"/>
          </w:tcPr>
          <w:p w14:paraId="31160676" w14:textId="4F310628" w:rsidR="00343894" w:rsidRPr="001A6668" w:rsidRDefault="00343894" w:rsidP="00343894">
            <w:pPr>
              <w:spacing w:after="160" w:line="259" w:lineRule="auto"/>
              <w:rPr>
                <w:lang w:val="en-US"/>
              </w:rPr>
            </w:pPr>
            <w:r>
              <w:rPr>
                <w:shd w:val="clear" w:color="auto" w:fill="00FFFF"/>
                <w:lang w:eastAsia="de-DE"/>
              </w:rPr>
              <w:t>KMC Solutions</w:t>
            </w:r>
          </w:p>
        </w:tc>
        <w:tc>
          <w:tcPr>
            <w:tcW w:w="1955" w:type="pct"/>
          </w:tcPr>
          <w:p w14:paraId="3502A28D" w14:textId="26C605C6" w:rsidR="00343894" w:rsidRPr="00925523" w:rsidRDefault="00343894" w:rsidP="00343894">
            <w:pPr>
              <w:spacing w:after="160" w:line="259" w:lineRule="auto"/>
            </w:pPr>
            <w:r>
              <w:rPr>
                <w:shd w:val="clear" w:color="auto" w:fill="00FFFF"/>
              </w:rPr>
              <w:t>Rechnungsstellung und technische Unterstützung</w:t>
            </w:r>
          </w:p>
        </w:tc>
        <w:tc>
          <w:tcPr>
            <w:tcW w:w="1405" w:type="pct"/>
          </w:tcPr>
          <w:p w14:paraId="4122D237" w14:textId="15D83D39" w:rsidR="00343894" w:rsidRPr="00925523" w:rsidRDefault="00343894" w:rsidP="00343894">
            <w:pPr>
              <w:spacing w:after="160" w:line="259" w:lineRule="auto"/>
            </w:pPr>
            <w:r>
              <w:rPr>
                <w:shd w:val="clear" w:color="auto" w:fill="00FFFF"/>
              </w:rPr>
              <w:t>Philippinen</w:t>
            </w:r>
          </w:p>
        </w:tc>
      </w:tr>
      <w:tr w:rsidR="00343894" w:rsidRPr="00777617" w14:paraId="15BF0C55" w14:textId="77777777" w:rsidTr="006979E2">
        <w:tc>
          <w:tcPr>
            <w:tcW w:w="388" w:type="pct"/>
          </w:tcPr>
          <w:p w14:paraId="04DEA138" w14:textId="77777777" w:rsidR="00343894" w:rsidRPr="00777617" w:rsidRDefault="00343894" w:rsidP="00343894">
            <w:pPr>
              <w:spacing w:after="160" w:line="259" w:lineRule="auto"/>
              <w:rPr>
                <w:lang w:val="en-US"/>
              </w:rPr>
            </w:pPr>
          </w:p>
        </w:tc>
        <w:tc>
          <w:tcPr>
            <w:tcW w:w="1251" w:type="pct"/>
          </w:tcPr>
          <w:p w14:paraId="6BDBA3E1" w14:textId="23B16157" w:rsidR="00343894" w:rsidRPr="001A6668" w:rsidRDefault="00343894" w:rsidP="00343894">
            <w:pPr>
              <w:spacing w:after="160" w:line="259" w:lineRule="auto"/>
              <w:rPr>
                <w:lang w:val="en-US"/>
              </w:rPr>
            </w:pPr>
            <w:proofErr w:type="spellStart"/>
            <w:r>
              <w:rPr>
                <w:shd w:val="clear" w:color="auto" w:fill="00FFFF"/>
                <w:lang w:eastAsia="de-DE"/>
              </w:rPr>
              <w:t>Forethought</w:t>
            </w:r>
            <w:proofErr w:type="spellEnd"/>
          </w:p>
        </w:tc>
        <w:tc>
          <w:tcPr>
            <w:tcW w:w="1955" w:type="pct"/>
          </w:tcPr>
          <w:p w14:paraId="642AD3F7" w14:textId="66F011D5" w:rsidR="00343894" w:rsidRPr="00925523" w:rsidRDefault="00343894" w:rsidP="00343894">
            <w:pPr>
              <w:spacing w:after="160" w:line="259" w:lineRule="auto"/>
            </w:pPr>
            <w:r>
              <w:rPr>
                <w:shd w:val="clear" w:color="auto" w:fill="00FFFF"/>
              </w:rPr>
              <w:t>Automatisiertes Kundendienst-Antwort-Tool</w:t>
            </w:r>
          </w:p>
        </w:tc>
        <w:tc>
          <w:tcPr>
            <w:tcW w:w="1405" w:type="pct"/>
          </w:tcPr>
          <w:p w14:paraId="5A1293DB" w14:textId="22E9004E" w:rsidR="00343894" w:rsidRPr="00925523" w:rsidRDefault="00343894" w:rsidP="00343894">
            <w:pPr>
              <w:spacing w:after="160" w:line="259" w:lineRule="auto"/>
            </w:pPr>
            <w:r>
              <w:rPr>
                <w:shd w:val="clear" w:color="auto" w:fill="00FFFF"/>
              </w:rPr>
              <w:t>Vereinigte Staaten von Amerika</w:t>
            </w:r>
          </w:p>
        </w:tc>
      </w:tr>
      <w:tr w:rsidR="00343894" w:rsidRPr="00777617" w14:paraId="283F6DF6" w14:textId="77777777" w:rsidTr="006979E2">
        <w:tc>
          <w:tcPr>
            <w:tcW w:w="388" w:type="pct"/>
          </w:tcPr>
          <w:p w14:paraId="1CA19B05" w14:textId="77777777" w:rsidR="00343894" w:rsidRPr="00777617" w:rsidRDefault="00343894" w:rsidP="00343894">
            <w:pPr>
              <w:spacing w:after="160" w:line="259" w:lineRule="auto"/>
              <w:rPr>
                <w:lang w:val="en-US"/>
              </w:rPr>
            </w:pPr>
          </w:p>
        </w:tc>
        <w:tc>
          <w:tcPr>
            <w:tcW w:w="1251" w:type="pct"/>
          </w:tcPr>
          <w:p w14:paraId="7EC4CDC1" w14:textId="5FBD87B3" w:rsidR="00343894" w:rsidRPr="001A6668" w:rsidRDefault="00343894" w:rsidP="00343894">
            <w:pPr>
              <w:spacing w:after="160" w:line="259" w:lineRule="auto"/>
              <w:rPr>
                <w:lang w:val="en-US"/>
              </w:rPr>
            </w:pPr>
            <w:r>
              <w:rPr>
                <w:shd w:val="clear" w:color="auto" w:fill="00FFFF"/>
                <w:lang w:eastAsia="de-DE"/>
              </w:rPr>
              <w:t xml:space="preserve">ADA </w:t>
            </w:r>
            <w:proofErr w:type="spellStart"/>
            <w:r>
              <w:rPr>
                <w:shd w:val="clear" w:color="auto" w:fill="00FFFF"/>
                <w:lang w:eastAsia="de-DE"/>
              </w:rPr>
              <w:t>Inc</w:t>
            </w:r>
            <w:proofErr w:type="spellEnd"/>
          </w:p>
        </w:tc>
        <w:tc>
          <w:tcPr>
            <w:tcW w:w="1955" w:type="pct"/>
          </w:tcPr>
          <w:p w14:paraId="5F165521" w14:textId="050BD64B" w:rsidR="00343894" w:rsidRPr="00925523" w:rsidRDefault="00343894" w:rsidP="00343894">
            <w:pPr>
              <w:spacing w:after="160" w:line="259" w:lineRule="auto"/>
            </w:pPr>
            <w:r>
              <w:rPr>
                <w:shd w:val="clear" w:color="auto" w:fill="00FFFF"/>
              </w:rPr>
              <w:t>Support Chat-Bot</w:t>
            </w:r>
          </w:p>
        </w:tc>
        <w:tc>
          <w:tcPr>
            <w:tcW w:w="1405" w:type="pct"/>
          </w:tcPr>
          <w:p w14:paraId="76CCC21B" w14:textId="32289CD1" w:rsidR="00343894" w:rsidRPr="00925523" w:rsidRDefault="00343894" w:rsidP="00343894">
            <w:pPr>
              <w:spacing w:after="160" w:line="259" w:lineRule="auto"/>
            </w:pPr>
            <w:r>
              <w:rPr>
                <w:shd w:val="clear" w:color="auto" w:fill="00FFFF"/>
              </w:rPr>
              <w:t>Vereinigte Staaten von Amerika, Kanada</w:t>
            </w:r>
          </w:p>
        </w:tc>
      </w:tr>
      <w:tr w:rsidR="00343894" w:rsidRPr="00777617" w14:paraId="64C12417" w14:textId="77777777" w:rsidTr="006979E2">
        <w:tc>
          <w:tcPr>
            <w:tcW w:w="388" w:type="pct"/>
          </w:tcPr>
          <w:p w14:paraId="7B453936" w14:textId="5EE7F65A" w:rsidR="00343894" w:rsidRPr="00343894" w:rsidRDefault="00343894" w:rsidP="00343894">
            <w:pPr>
              <w:spacing w:after="160" w:line="259" w:lineRule="auto"/>
            </w:pPr>
          </w:p>
        </w:tc>
        <w:tc>
          <w:tcPr>
            <w:tcW w:w="1251" w:type="pct"/>
          </w:tcPr>
          <w:p w14:paraId="29B0B837" w14:textId="39DE851C" w:rsidR="00343894" w:rsidRPr="0001214E" w:rsidRDefault="00343894" w:rsidP="00343894">
            <w:pPr>
              <w:spacing w:after="160" w:line="259" w:lineRule="auto"/>
              <w:rPr>
                <w:lang w:val="en-US"/>
              </w:rPr>
            </w:pPr>
            <w:r w:rsidRPr="00A619A7">
              <w:rPr>
                <w:lang w:val="en-US"/>
              </w:rPr>
              <w:t>Zendesk</w:t>
            </w:r>
          </w:p>
        </w:tc>
        <w:tc>
          <w:tcPr>
            <w:tcW w:w="1955" w:type="pct"/>
          </w:tcPr>
          <w:p w14:paraId="7B97E986" w14:textId="51907531" w:rsidR="00343894" w:rsidRPr="008A05FC" w:rsidRDefault="00343894" w:rsidP="00343894">
            <w:pPr>
              <w:spacing w:after="160" w:line="259" w:lineRule="auto"/>
            </w:pPr>
            <w:r>
              <w:t>Support</w:t>
            </w:r>
          </w:p>
        </w:tc>
        <w:tc>
          <w:tcPr>
            <w:tcW w:w="1405" w:type="pct"/>
          </w:tcPr>
          <w:p w14:paraId="0DE6A7D4" w14:textId="084EEBC1" w:rsidR="00343894" w:rsidRPr="008A05FC" w:rsidRDefault="00343894" w:rsidP="00343894">
            <w:pPr>
              <w:spacing w:after="160" w:line="259" w:lineRule="auto"/>
            </w:pPr>
            <w:r w:rsidRPr="008C58A8">
              <w:t>Vereinigte Staaten von Amerika</w:t>
            </w:r>
          </w:p>
        </w:tc>
      </w:tr>
      <w:tr w:rsidR="00343894" w:rsidRPr="00777617" w14:paraId="5B106FFA" w14:textId="77777777" w:rsidTr="006979E2">
        <w:tc>
          <w:tcPr>
            <w:tcW w:w="388" w:type="pct"/>
          </w:tcPr>
          <w:p w14:paraId="60926969" w14:textId="03E2C2A0" w:rsidR="00343894" w:rsidRPr="00777617" w:rsidRDefault="00343894" w:rsidP="00343894">
            <w:pPr>
              <w:spacing w:after="160" w:line="259" w:lineRule="auto"/>
              <w:rPr>
                <w:lang w:val="en-US"/>
              </w:rPr>
            </w:pPr>
          </w:p>
        </w:tc>
        <w:tc>
          <w:tcPr>
            <w:tcW w:w="1251" w:type="pct"/>
          </w:tcPr>
          <w:p w14:paraId="6BE2BFED" w14:textId="4F9CCAD2" w:rsidR="00343894" w:rsidRPr="0001214E" w:rsidRDefault="00343894" w:rsidP="00343894">
            <w:pPr>
              <w:spacing w:after="160" w:line="259" w:lineRule="auto"/>
              <w:rPr>
                <w:lang w:val="en-US"/>
              </w:rPr>
            </w:pPr>
            <w:proofErr w:type="spellStart"/>
            <w:r w:rsidRPr="00A619A7">
              <w:rPr>
                <w:lang w:val="en-US"/>
              </w:rPr>
              <w:t>Wootric</w:t>
            </w:r>
            <w:proofErr w:type="spellEnd"/>
          </w:p>
        </w:tc>
        <w:tc>
          <w:tcPr>
            <w:tcW w:w="1955" w:type="pct"/>
          </w:tcPr>
          <w:p w14:paraId="74E9DEAE" w14:textId="25711679" w:rsidR="00343894" w:rsidRPr="008A05FC" w:rsidRDefault="00343894" w:rsidP="00343894">
            <w:pPr>
              <w:spacing w:after="160" w:line="259" w:lineRule="auto"/>
            </w:pPr>
            <w:r>
              <w:t>Kundenumfragen</w:t>
            </w:r>
          </w:p>
        </w:tc>
        <w:tc>
          <w:tcPr>
            <w:tcW w:w="1405" w:type="pct"/>
          </w:tcPr>
          <w:p w14:paraId="4B10B584" w14:textId="617BF50E" w:rsidR="00343894" w:rsidRPr="008A05FC" w:rsidRDefault="00343894" w:rsidP="00343894">
            <w:pPr>
              <w:spacing w:after="160" w:line="259" w:lineRule="auto"/>
            </w:pPr>
            <w:r w:rsidRPr="008C58A8">
              <w:t>Vereinigte Staaten von Amerika</w:t>
            </w:r>
          </w:p>
        </w:tc>
      </w:tr>
      <w:tr w:rsidR="00343894" w:rsidRPr="00777617" w14:paraId="2B5C7E79" w14:textId="77777777" w:rsidTr="006979E2">
        <w:tc>
          <w:tcPr>
            <w:tcW w:w="388" w:type="pct"/>
          </w:tcPr>
          <w:p w14:paraId="20A4C0A9" w14:textId="2D512521" w:rsidR="00343894" w:rsidRPr="00777617" w:rsidRDefault="00343894" w:rsidP="00343894">
            <w:pPr>
              <w:spacing w:after="160" w:line="259" w:lineRule="auto"/>
              <w:rPr>
                <w:lang w:val="en-US"/>
              </w:rPr>
            </w:pPr>
          </w:p>
        </w:tc>
        <w:tc>
          <w:tcPr>
            <w:tcW w:w="1251" w:type="pct"/>
          </w:tcPr>
          <w:p w14:paraId="6B7FCA04" w14:textId="48FF84DB" w:rsidR="00343894" w:rsidRPr="00777617" w:rsidRDefault="00343894" w:rsidP="00343894">
            <w:pPr>
              <w:spacing w:after="160" w:line="259" w:lineRule="auto"/>
              <w:rPr>
                <w:lang w:val="en-US"/>
              </w:rPr>
            </w:pPr>
            <w:proofErr w:type="spellStart"/>
            <w:r w:rsidRPr="00A619A7">
              <w:rPr>
                <w:lang w:val="en-US"/>
              </w:rPr>
              <w:t>Totango</w:t>
            </w:r>
            <w:proofErr w:type="spellEnd"/>
          </w:p>
        </w:tc>
        <w:tc>
          <w:tcPr>
            <w:tcW w:w="1955" w:type="pct"/>
          </w:tcPr>
          <w:p w14:paraId="2075E541" w14:textId="26C9D859" w:rsidR="00343894" w:rsidRPr="008A05FC" w:rsidRDefault="00343894" w:rsidP="00343894">
            <w:pPr>
              <w:spacing w:after="160" w:line="259" w:lineRule="auto"/>
            </w:pPr>
            <w:r>
              <w:t>Onboarding, Kundenerfahrung</w:t>
            </w:r>
          </w:p>
        </w:tc>
        <w:tc>
          <w:tcPr>
            <w:tcW w:w="1405" w:type="pct"/>
          </w:tcPr>
          <w:p w14:paraId="65E8B45F" w14:textId="4040DACF" w:rsidR="00343894" w:rsidRPr="008A05FC" w:rsidRDefault="00343894" w:rsidP="00343894">
            <w:pPr>
              <w:spacing w:after="160" w:line="259" w:lineRule="auto"/>
            </w:pPr>
            <w:r w:rsidRPr="008C58A8">
              <w:t>Vereinigte Staaten von Amerika</w:t>
            </w:r>
          </w:p>
        </w:tc>
      </w:tr>
      <w:tr w:rsidR="00343894" w:rsidRPr="00777617" w14:paraId="7CF7B22D" w14:textId="77777777" w:rsidTr="006979E2">
        <w:tc>
          <w:tcPr>
            <w:tcW w:w="388" w:type="pct"/>
          </w:tcPr>
          <w:p w14:paraId="166CB942" w14:textId="1D0A34E3" w:rsidR="00343894" w:rsidRPr="00777617" w:rsidRDefault="00343894" w:rsidP="00343894">
            <w:pPr>
              <w:spacing w:after="160" w:line="259" w:lineRule="auto"/>
              <w:rPr>
                <w:lang w:val="en-US"/>
              </w:rPr>
            </w:pPr>
          </w:p>
        </w:tc>
        <w:tc>
          <w:tcPr>
            <w:tcW w:w="1251" w:type="pct"/>
          </w:tcPr>
          <w:p w14:paraId="640BCF86" w14:textId="336407BE" w:rsidR="00343894" w:rsidRPr="00777617" w:rsidRDefault="00343894" w:rsidP="00343894">
            <w:pPr>
              <w:spacing w:after="160" w:line="259" w:lineRule="auto"/>
              <w:rPr>
                <w:lang w:val="en-US"/>
              </w:rPr>
            </w:pPr>
            <w:proofErr w:type="spellStart"/>
            <w:r w:rsidRPr="00170F9F">
              <w:rPr>
                <w:lang w:val="en-US"/>
              </w:rPr>
              <w:t>Answerforce</w:t>
            </w:r>
            <w:proofErr w:type="spellEnd"/>
          </w:p>
        </w:tc>
        <w:tc>
          <w:tcPr>
            <w:tcW w:w="1955" w:type="pct"/>
          </w:tcPr>
          <w:p w14:paraId="34252A83" w14:textId="2D534FB0" w:rsidR="00343894" w:rsidRPr="008A05FC" w:rsidRDefault="00343894" w:rsidP="00343894">
            <w:pPr>
              <w:spacing w:after="160" w:line="259" w:lineRule="auto"/>
            </w:pPr>
            <w:r>
              <w:t>Kundensupport</w:t>
            </w:r>
          </w:p>
        </w:tc>
        <w:tc>
          <w:tcPr>
            <w:tcW w:w="1405" w:type="pct"/>
          </w:tcPr>
          <w:p w14:paraId="10DCAD79" w14:textId="47B2A59D" w:rsidR="00343894" w:rsidRPr="008A05FC" w:rsidRDefault="00343894" w:rsidP="00343894">
            <w:pPr>
              <w:spacing w:after="160" w:line="259" w:lineRule="auto"/>
            </w:pPr>
            <w:r w:rsidRPr="008C58A8">
              <w:t>Vereinigte Staaten von Amerika</w:t>
            </w:r>
          </w:p>
        </w:tc>
      </w:tr>
      <w:tr w:rsidR="00343894" w:rsidRPr="00777617" w14:paraId="552D0716" w14:textId="77777777" w:rsidTr="006979E2">
        <w:tc>
          <w:tcPr>
            <w:tcW w:w="388" w:type="pct"/>
          </w:tcPr>
          <w:p w14:paraId="457B6388" w14:textId="2B9BB066" w:rsidR="00343894" w:rsidRPr="00777617" w:rsidRDefault="00343894" w:rsidP="00343894">
            <w:pPr>
              <w:spacing w:after="160" w:line="259" w:lineRule="auto"/>
              <w:rPr>
                <w:lang w:val="en-US"/>
              </w:rPr>
            </w:pPr>
          </w:p>
        </w:tc>
        <w:tc>
          <w:tcPr>
            <w:tcW w:w="1251" w:type="pct"/>
          </w:tcPr>
          <w:p w14:paraId="29A62390" w14:textId="5C8CFCCF" w:rsidR="00343894" w:rsidRPr="0001214E" w:rsidRDefault="00343894" w:rsidP="00343894">
            <w:pPr>
              <w:rPr>
                <w:lang w:val="en-US"/>
              </w:rPr>
            </w:pPr>
            <w:r w:rsidRPr="00F533FA">
              <w:rPr>
                <w:lang w:val="en-US"/>
              </w:rPr>
              <w:t>Rocket Science Group, LLC</w:t>
            </w:r>
          </w:p>
        </w:tc>
        <w:tc>
          <w:tcPr>
            <w:tcW w:w="1955" w:type="pct"/>
          </w:tcPr>
          <w:p w14:paraId="65AF05E8" w14:textId="5BD2E235" w:rsidR="00343894" w:rsidRPr="008A05FC" w:rsidRDefault="00343894" w:rsidP="00343894">
            <w:pPr>
              <w:spacing w:after="160" w:line="259" w:lineRule="auto"/>
            </w:pPr>
            <w:r>
              <w:t>E-Mail-</w:t>
            </w:r>
            <w:proofErr w:type="spellStart"/>
            <w:r>
              <w:t>Benachrichtungen</w:t>
            </w:r>
            <w:proofErr w:type="spellEnd"/>
          </w:p>
        </w:tc>
        <w:tc>
          <w:tcPr>
            <w:tcW w:w="1405" w:type="pct"/>
          </w:tcPr>
          <w:p w14:paraId="068270C6" w14:textId="47CED598" w:rsidR="00343894" w:rsidRPr="008A05FC" w:rsidRDefault="00343894" w:rsidP="00343894">
            <w:pPr>
              <w:spacing w:after="160" w:line="259" w:lineRule="auto"/>
            </w:pPr>
            <w:r w:rsidRPr="008C58A8">
              <w:t>Vereinigte Staaten von Amerika</w:t>
            </w:r>
          </w:p>
        </w:tc>
      </w:tr>
      <w:tr w:rsidR="00343894" w:rsidRPr="00777617" w14:paraId="4BBC95AC" w14:textId="77777777" w:rsidTr="006979E2">
        <w:tc>
          <w:tcPr>
            <w:tcW w:w="388" w:type="pct"/>
          </w:tcPr>
          <w:p w14:paraId="3B75C8CF" w14:textId="0ECAFAEC" w:rsidR="00343894" w:rsidRPr="00777617" w:rsidRDefault="00343894" w:rsidP="00343894">
            <w:pPr>
              <w:spacing w:after="160" w:line="259" w:lineRule="auto"/>
              <w:rPr>
                <w:lang w:val="en-US"/>
              </w:rPr>
            </w:pPr>
          </w:p>
        </w:tc>
        <w:tc>
          <w:tcPr>
            <w:tcW w:w="1251" w:type="pct"/>
          </w:tcPr>
          <w:p w14:paraId="30A583AB" w14:textId="292785EE" w:rsidR="00343894" w:rsidRPr="00777617" w:rsidRDefault="00343894" w:rsidP="00343894">
            <w:pPr>
              <w:spacing w:after="160" w:line="259" w:lineRule="auto"/>
              <w:rPr>
                <w:lang w:val="en-US"/>
              </w:rPr>
            </w:pPr>
            <w:r w:rsidRPr="00F533FA">
              <w:rPr>
                <w:lang w:val="en-US"/>
              </w:rPr>
              <w:t>Five9</w:t>
            </w:r>
          </w:p>
        </w:tc>
        <w:tc>
          <w:tcPr>
            <w:tcW w:w="1955" w:type="pct"/>
          </w:tcPr>
          <w:p w14:paraId="58B90220" w14:textId="7D1C99CE" w:rsidR="00343894" w:rsidRPr="008A05FC" w:rsidRDefault="00343894" w:rsidP="00343894">
            <w:pPr>
              <w:spacing w:after="160" w:line="259" w:lineRule="auto"/>
            </w:pPr>
            <w:r>
              <w:t>Callcenter</w:t>
            </w:r>
          </w:p>
        </w:tc>
        <w:tc>
          <w:tcPr>
            <w:tcW w:w="1405" w:type="pct"/>
          </w:tcPr>
          <w:p w14:paraId="4C9358A5" w14:textId="3F22DE8C" w:rsidR="00343894" w:rsidRPr="008A05FC" w:rsidRDefault="00343894" w:rsidP="00343894">
            <w:pPr>
              <w:spacing w:after="160" w:line="259" w:lineRule="auto"/>
            </w:pPr>
            <w:r w:rsidRPr="008C58A8">
              <w:t>Vereinigte Staaten von Amerika</w:t>
            </w:r>
          </w:p>
        </w:tc>
      </w:tr>
      <w:tr w:rsidR="00343894" w:rsidRPr="00777617" w14:paraId="172ED1DB" w14:textId="77777777" w:rsidTr="006979E2">
        <w:tc>
          <w:tcPr>
            <w:tcW w:w="388" w:type="pct"/>
          </w:tcPr>
          <w:p w14:paraId="57C5B212" w14:textId="1C08D640" w:rsidR="00343894" w:rsidRPr="00777617" w:rsidRDefault="00343894" w:rsidP="00343894">
            <w:pPr>
              <w:spacing w:after="160" w:line="259" w:lineRule="auto"/>
              <w:rPr>
                <w:lang w:val="en-US"/>
              </w:rPr>
            </w:pPr>
          </w:p>
        </w:tc>
        <w:tc>
          <w:tcPr>
            <w:tcW w:w="1251" w:type="pct"/>
          </w:tcPr>
          <w:p w14:paraId="564D2FDC" w14:textId="1662A1AC" w:rsidR="00343894" w:rsidRPr="00F533FA" w:rsidRDefault="00343894" w:rsidP="00343894">
            <w:pPr>
              <w:rPr>
                <w:lang w:val="en-US"/>
              </w:rPr>
            </w:pPr>
            <w:r w:rsidRPr="003A48A0">
              <w:rPr>
                <w:lang w:val="en-US"/>
              </w:rPr>
              <w:t>EPS Ventures</w:t>
            </w:r>
          </w:p>
        </w:tc>
        <w:tc>
          <w:tcPr>
            <w:tcW w:w="1955" w:type="pct"/>
          </w:tcPr>
          <w:p w14:paraId="6A31E429" w14:textId="7E47A0F1" w:rsidR="00343894" w:rsidRPr="008A05FC" w:rsidRDefault="00343894" w:rsidP="00343894">
            <w:pPr>
              <w:spacing w:after="160" w:line="259" w:lineRule="auto"/>
            </w:pPr>
            <w:r>
              <w:t>Support</w:t>
            </w:r>
          </w:p>
        </w:tc>
        <w:tc>
          <w:tcPr>
            <w:tcW w:w="1405" w:type="pct"/>
          </w:tcPr>
          <w:p w14:paraId="170ADF8D" w14:textId="271CD9D6" w:rsidR="00343894" w:rsidRPr="008A05FC" w:rsidRDefault="00343894" w:rsidP="00343894">
            <w:pPr>
              <w:spacing w:after="160" w:line="259" w:lineRule="auto"/>
            </w:pPr>
            <w:r>
              <w:t>Malaysia</w:t>
            </w:r>
          </w:p>
        </w:tc>
      </w:tr>
      <w:tr w:rsidR="00343894" w:rsidRPr="00777617" w14:paraId="131C4577" w14:textId="77777777" w:rsidTr="006979E2">
        <w:tc>
          <w:tcPr>
            <w:tcW w:w="388" w:type="pct"/>
          </w:tcPr>
          <w:p w14:paraId="27EC00C8" w14:textId="1A1016AA" w:rsidR="00343894" w:rsidRPr="00777617" w:rsidRDefault="00343894" w:rsidP="00343894">
            <w:pPr>
              <w:spacing w:after="160" w:line="259" w:lineRule="auto"/>
              <w:rPr>
                <w:lang w:val="en-US"/>
              </w:rPr>
            </w:pPr>
          </w:p>
        </w:tc>
        <w:tc>
          <w:tcPr>
            <w:tcW w:w="1251" w:type="pct"/>
          </w:tcPr>
          <w:p w14:paraId="23E6B6EC" w14:textId="1A20C2E6" w:rsidR="00343894" w:rsidRPr="00F533FA" w:rsidRDefault="00343894" w:rsidP="00343894">
            <w:pPr>
              <w:rPr>
                <w:lang w:val="en-US"/>
              </w:rPr>
            </w:pPr>
            <w:r w:rsidRPr="003A48A0">
              <w:rPr>
                <w:lang w:val="en-US"/>
              </w:rPr>
              <w:t>WKJ Consultancy</w:t>
            </w:r>
          </w:p>
        </w:tc>
        <w:tc>
          <w:tcPr>
            <w:tcW w:w="1955" w:type="pct"/>
          </w:tcPr>
          <w:p w14:paraId="65045366" w14:textId="055507BB" w:rsidR="00343894" w:rsidRPr="008A05FC" w:rsidRDefault="00343894" w:rsidP="00343894">
            <w:pPr>
              <w:spacing w:after="160" w:line="259" w:lineRule="auto"/>
            </w:pPr>
            <w:r>
              <w:t>Support</w:t>
            </w:r>
          </w:p>
        </w:tc>
        <w:tc>
          <w:tcPr>
            <w:tcW w:w="1405" w:type="pct"/>
          </w:tcPr>
          <w:p w14:paraId="72005DD2" w14:textId="2F2D9D9A" w:rsidR="00343894" w:rsidRPr="008A05FC" w:rsidRDefault="00343894" w:rsidP="00343894">
            <w:pPr>
              <w:spacing w:after="160" w:line="259" w:lineRule="auto"/>
            </w:pPr>
            <w:r>
              <w:t>Malaysia</w:t>
            </w:r>
          </w:p>
        </w:tc>
      </w:tr>
      <w:tr w:rsidR="00343894" w:rsidRPr="00777617" w14:paraId="1200D4C9" w14:textId="77777777" w:rsidTr="006979E2">
        <w:tc>
          <w:tcPr>
            <w:tcW w:w="388" w:type="pct"/>
          </w:tcPr>
          <w:p w14:paraId="3A7DED16" w14:textId="7642412F" w:rsidR="00343894" w:rsidRPr="00777617" w:rsidRDefault="00343894" w:rsidP="00343894">
            <w:pPr>
              <w:spacing w:after="160" w:line="259" w:lineRule="auto"/>
              <w:rPr>
                <w:lang w:val="en-US"/>
              </w:rPr>
            </w:pPr>
          </w:p>
        </w:tc>
        <w:tc>
          <w:tcPr>
            <w:tcW w:w="1251" w:type="pct"/>
          </w:tcPr>
          <w:p w14:paraId="0BFD29C8" w14:textId="0993A900" w:rsidR="00343894" w:rsidRPr="003A48A0" w:rsidRDefault="00343894" w:rsidP="00343894">
            <w:pPr>
              <w:rPr>
                <w:lang w:val="en-US"/>
              </w:rPr>
            </w:pPr>
            <w:r w:rsidRPr="00FE679D">
              <w:rPr>
                <w:lang w:val="en-US"/>
              </w:rPr>
              <w:t>Salesforce</w:t>
            </w:r>
          </w:p>
        </w:tc>
        <w:tc>
          <w:tcPr>
            <w:tcW w:w="1955" w:type="pct"/>
          </w:tcPr>
          <w:p w14:paraId="0A388765" w14:textId="77987821" w:rsidR="00343894" w:rsidRPr="008A05FC" w:rsidRDefault="00343894" w:rsidP="00343894">
            <w:pPr>
              <w:spacing w:after="160" w:line="259" w:lineRule="auto"/>
            </w:pPr>
            <w:r>
              <w:t>Kundenmanagement</w:t>
            </w:r>
          </w:p>
        </w:tc>
        <w:tc>
          <w:tcPr>
            <w:tcW w:w="1405" w:type="pct"/>
          </w:tcPr>
          <w:p w14:paraId="35AEE7D6" w14:textId="170B6092" w:rsidR="00343894" w:rsidRPr="008A05FC" w:rsidRDefault="00343894" w:rsidP="00343894">
            <w:pPr>
              <w:spacing w:after="160" w:line="259" w:lineRule="auto"/>
            </w:pPr>
            <w:r w:rsidRPr="008C58A8">
              <w:t>Vereinigte Staaten von Amerika</w:t>
            </w:r>
          </w:p>
        </w:tc>
      </w:tr>
      <w:tr w:rsidR="00343894" w:rsidRPr="00777617" w14:paraId="707B6804" w14:textId="77777777" w:rsidTr="006979E2">
        <w:tc>
          <w:tcPr>
            <w:tcW w:w="388" w:type="pct"/>
          </w:tcPr>
          <w:p w14:paraId="0A67C332" w14:textId="66CBA893" w:rsidR="00343894" w:rsidRPr="00777617" w:rsidRDefault="00343894" w:rsidP="00343894">
            <w:pPr>
              <w:spacing w:after="160" w:line="259" w:lineRule="auto"/>
              <w:rPr>
                <w:lang w:val="en-US"/>
              </w:rPr>
            </w:pPr>
          </w:p>
        </w:tc>
        <w:tc>
          <w:tcPr>
            <w:tcW w:w="1251" w:type="pct"/>
          </w:tcPr>
          <w:p w14:paraId="49B80917" w14:textId="4E18769F" w:rsidR="00343894" w:rsidRPr="003A48A0" w:rsidRDefault="00343894" w:rsidP="00343894">
            <w:pPr>
              <w:rPr>
                <w:lang w:val="en-US"/>
              </w:rPr>
            </w:pPr>
            <w:r w:rsidRPr="00BA642A">
              <w:rPr>
                <w:lang w:val="en-US"/>
              </w:rPr>
              <w:t>CyberSource</w:t>
            </w:r>
          </w:p>
        </w:tc>
        <w:tc>
          <w:tcPr>
            <w:tcW w:w="1955" w:type="pct"/>
          </w:tcPr>
          <w:p w14:paraId="34418C7A" w14:textId="792A8885" w:rsidR="00343894" w:rsidRPr="008A05FC" w:rsidRDefault="00343894" w:rsidP="00343894">
            <w:pPr>
              <w:spacing w:after="160" w:line="259" w:lineRule="auto"/>
            </w:pPr>
            <w:r>
              <w:t>Bezahlung und Betrugsprävention</w:t>
            </w:r>
          </w:p>
        </w:tc>
        <w:tc>
          <w:tcPr>
            <w:tcW w:w="1405" w:type="pct"/>
          </w:tcPr>
          <w:p w14:paraId="51B6E4FC" w14:textId="5E4E2219" w:rsidR="00343894" w:rsidRPr="008A05FC" w:rsidRDefault="00343894" w:rsidP="00343894">
            <w:pPr>
              <w:spacing w:after="160" w:line="259" w:lineRule="auto"/>
            </w:pPr>
            <w:r w:rsidRPr="008C58A8">
              <w:t>Vereinigte Staaten von Amerika</w:t>
            </w:r>
          </w:p>
        </w:tc>
      </w:tr>
      <w:tr w:rsidR="00343894" w:rsidRPr="00777617" w14:paraId="2CE27716" w14:textId="77777777" w:rsidTr="006979E2">
        <w:tc>
          <w:tcPr>
            <w:tcW w:w="388" w:type="pct"/>
          </w:tcPr>
          <w:p w14:paraId="049046A2" w14:textId="2E0EFD06" w:rsidR="00343894" w:rsidRPr="00777617" w:rsidRDefault="00343894" w:rsidP="00343894">
            <w:pPr>
              <w:spacing w:after="160" w:line="259" w:lineRule="auto"/>
              <w:rPr>
                <w:lang w:val="en-US"/>
              </w:rPr>
            </w:pPr>
          </w:p>
        </w:tc>
        <w:tc>
          <w:tcPr>
            <w:tcW w:w="1251" w:type="pct"/>
          </w:tcPr>
          <w:p w14:paraId="2DF26EEC" w14:textId="5ACF456A" w:rsidR="00343894" w:rsidRPr="003A48A0" w:rsidRDefault="00343894" w:rsidP="00343894">
            <w:pPr>
              <w:rPr>
                <w:lang w:val="en-US"/>
              </w:rPr>
            </w:pPr>
            <w:r w:rsidRPr="00BA642A">
              <w:rPr>
                <w:lang w:val="en-US"/>
              </w:rPr>
              <w:t>Adyen</w:t>
            </w:r>
          </w:p>
        </w:tc>
        <w:tc>
          <w:tcPr>
            <w:tcW w:w="1955" w:type="pct"/>
          </w:tcPr>
          <w:p w14:paraId="489624CE" w14:textId="5C4DABBA" w:rsidR="00343894" w:rsidRPr="008A05FC" w:rsidRDefault="00343894" w:rsidP="00343894">
            <w:pPr>
              <w:spacing w:after="160" w:line="259" w:lineRule="auto"/>
            </w:pPr>
            <w:r>
              <w:t>Bezahlung und Betrugsprävention</w:t>
            </w:r>
          </w:p>
        </w:tc>
        <w:tc>
          <w:tcPr>
            <w:tcW w:w="1405" w:type="pct"/>
          </w:tcPr>
          <w:p w14:paraId="430EE135" w14:textId="3B42FCCA" w:rsidR="00343894" w:rsidRPr="008A05FC" w:rsidRDefault="00343894" w:rsidP="00343894">
            <w:pPr>
              <w:spacing w:after="160" w:line="259" w:lineRule="auto"/>
            </w:pPr>
            <w:r>
              <w:t>Europa</w:t>
            </w:r>
          </w:p>
        </w:tc>
      </w:tr>
      <w:tr w:rsidR="00343894" w:rsidRPr="00777617" w14:paraId="10AAB87B" w14:textId="77777777" w:rsidTr="006979E2">
        <w:tc>
          <w:tcPr>
            <w:tcW w:w="388" w:type="pct"/>
          </w:tcPr>
          <w:p w14:paraId="2CA83F76" w14:textId="100D9F0E" w:rsidR="00343894" w:rsidRPr="00777617" w:rsidRDefault="00343894" w:rsidP="00343894">
            <w:pPr>
              <w:spacing w:after="160" w:line="259" w:lineRule="auto"/>
              <w:rPr>
                <w:lang w:val="en-US"/>
              </w:rPr>
            </w:pPr>
          </w:p>
        </w:tc>
        <w:tc>
          <w:tcPr>
            <w:tcW w:w="1251" w:type="pct"/>
          </w:tcPr>
          <w:p w14:paraId="4D976F87" w14:textId="3C0A295E" w:rsidR="00343894" w:rsidRPr="003A48A0" w:rsidRDefault="00343894" w:rsidP="00343894">
            <w:pPr>
              <w:rPr>
                <w:lang w:val="en-US"/>
              </w:rPr>
            </w:pPr>
            <w:r w:rsidRPr="00BA642A">
              <w:rPr>
                <w:lang w:val="en-US"/>
              </w:rPr>
              <w:t>Zuora</w:t>
            </w:r>
          </w:p>
        </w:tc>
        <w:tc>
          <w:tcPr>
            <w:tcW w:w="1955" w:type="pct"/>
          </w:tcPr>
          <w:p w14:paraId="459E69D5" w14:textId="1DC7D6F0" w:rsidR="00343894" w:rsidRPr="008A05FC" w:rsidRDefault="00343894" w:rsidP="00343894">
            <w:pPr>
              <w:spacing w:after="160" w:line="259" w:lineRule="auto"/>
            </w:pPr>
            <w:proofErr w:type="spellStart"/>
            <w:r>
              <w:t>Abomanagement</w:t>
            </w:r>
            <w:proofErr w:type="spellEnd"/>
          </w:p>
        </w:tc>
        <w:tc>
          <w:tcPr>
            <w:tcW w:w="1405" w:type="pct"/>
          </w:tcPr>
          <w:p w14:paraId="694ED769" w14:textId="6127B9EA" w:rsidR="00343894" w:rsidRPr="008A05FC" w:rsidRDefault="00343894" w:rsidP="00343894">
            <w:pPr>
              <w:spacing w:after="160" w:line="259" w:lineRule="auto"/>
            </w:pPr>
            <w:r w:rsidRPr="00356AB0">
              <w:t>Vereinigte Staaten von Amerika</w:t>
            </w:r>
          </w:p>
        </w:tc>
      </w:tr>
      <w:tr w:rsidR="00343894" w:rsidRPr="00356AB0" w14:paraId="709EB2BD" w14:textId="77777777" w:rsidTr="006979E2">
        <w:tc>
          <w:tcPr>
            <w:tcW w:w="388" w:type="pct"/>
          </w:tcPr>
          <w:p w14:paraId="2B24E451" w14:textId="759BA7B0" w:rsidR="00343894" w:rsidRPr="00777617" w:rsidRDefault="00343894" w:rsidP="00343894">
            <w:pPr>
              <w:spacing w:after="160" w:line="259" w:lineRule="auto"/>
              <w:rPr>
                <w:lang w:val="en-US"/>
              </w:rPr>
            </w:pPr>
          </w:p>
        </w:tc>
        <w:tc>
          <w:tcPr>
            <w:tcW w:w="1251" w:type="pct"/>
          </w:tcPr>
          <w:p w14:paraId="4157D191" w14:textId="7307B0A6" w:rsidR="00343894" w:rsidRPr="00BA642A" w:rsidRDefault="00343894" w:rsidP="00343894">
            <w:pPr>
              <w:rPr>
                <w:lang w:val="en-US"/>
              </w:rPr>
            </w:pPr>
            <w:r w:rsidRPr="00147C49">
              <w:rPr>
                <w:lang w:val="en-US"/>
              </w:rPr>
              <w:t>Amazon Web Services</w:t>
            </w:r>
          </w:p>
        </w:tc>
        <w:tc>
          <w:tcPr>
            <w:tcW w:w="1955" w:type="pct"/>
          </w:tcPr>
          <w:p w14:paraId="610F6EDB" w14:textId="0811645B" w:rsidR="00343894" w:rsidRPr="008A05FC" w:rsidRDefault="00343894" w:rsidP="00343894">
            <w:pPr>
              <w:spacing w:after="160" w:line="259" w:lineRule="auto"/>
            </w:pPr>
            <w:r>
              <w:t>Infrastruktur (IT)</w:t>
            </w:r>
          </w:p>
        </w:tc>
        <w:tc>
          <w:tcPr>
            <w:tcW w:w="1405" w:type="pct"/>
          </w:tcPr>
          <w:p w14:paraId="281CB6D4" w14:textId="6C00F113" w:rsidR="00343894" w:rsidRPr="008A05FC" w:rsidRDefault="00343894" w:rsidP="00343894">
            <w:pPr>
              <w:spacing w:after="160" w:line="259" w:lineRule="auto"/>
            </w:pPr>
            <w:r w:rsidRPr="00356AB0">
              <w:t>Vereinigte Staaten von Amerika</w:t>
            </w:r>
            <w:r>
              <w:t>, EU, Kanada, Australien</w:t>
            </w:r>
          </w:p>
        </w:tc>
      </w:tr>
      <w:tr w:rsidR="007E31B9" w:rsidRPr="00777617" w14:paraId="6C1F79BD" w14:textId="77777777" w:rsidTr="006979E2">
        <w:tc>
          <w:tcPr>
            <w:tcW w:w="388" w:type="pct"/>
          </w:tcPr>
          <w:p w14:paraId="00406754" w14:textId="6F7CEF57" w:rsidR="007E31B9" w:rsidRPr="00356AB0" w:rsidRDefault="007E31B9" w:rsidP="007E31B9">
            <w:pPr>
              <w:spacing w:after="160" w:line="259" w:lineRule="auto"/>
            </w:pPr>
          </w:p>
        </w:tc>
        <w:tc>
          <w:tcPr>
            <w:tcW w:w="1251" w:type="pct"/>
          </w:tcPr>
          <w:p w14:paraId="41C8C015" w14:textId="236D2B6D" w:rsidR="007E31B9" w:rsidRPr="00BA642A" w:rsidRDefault="007E31B9" w:rsidP="007E31B9">
            <w:pPr>
              <w:rPr>
                <w:lang w:val="en-US"/>
              </w:rPr>
            </w:pPr>
            <w:r>
              <w:rPr>
                <w:shd w:val="clear" w:color="auto" w:fill="00FFFF"/>
              </w:rPr>
              <w:t>Oracle Inc.</w:t>
            </w:r>
          </w:p>
        </w:tc>
        <w:tc>
          <w:tcPr>
            <w:tcW w:w="1955" w:type="pct"/>
          </w:tcPr>
          <w:p w14:paraId="4D7DB2CE" w14:textId="46A7B1A0" w:rsidR="007E31B9" w:rsidRPr="008A05FC" w:rsidRDefault="007E31B9" w:rsidP="007E31B9">
            <w:pPr>
              <w:spacing w:after="160" w:line="259" w:lineRule="auto"/>
            </w:pPr>
            <w:r>
              <w:rPr>
                <w:shd w:val="clear" w:color="auto" w:fill="00FFFF"/>
              </w:rPr>
              <w:t>Infrastruktur (IT)</w:t>
            </w:r>
          </w:p>
        </w:tc>
        <w:tc>
          <w:tcPr>
            <w:tcW w:w="1405" w:type="pct"/>
          </w:tcPr>
          <w:p w14:paraId="6A417481" w14:textId="443FF0AE" w:rsidR="007E31B9" w:rsidRPr="008A05FC" w:rsidRDefault="007E31B9" w:rsidP="007E31B9">
            <w:pPr>
              <w:spacing w:after="160" w:line="259" w:lineRule="auto"/>
            </w:pPr>
            <w:r>
              <w:rPr>
                <w:shd w:val="clear" w:color="auto" w:fill="00FFFF"/>
              </w:rPr>
              <w:t>Vereinigte Staaten von Amerika</w:t>
            </w:r>
          </w:p>
        </w:tc>
      </w:tr>
      <w:tr w:rsidR="007E31B9" w:rsidRPr="00777617" w14:paraId="33387466" w14:textId="77777777" w:rsidTr="006979E2">
        <w:tc>
          <w:tcPr>
            <w:tcW w:w="388" w:type="pct"/>
          </w:tcPr>
          <w:p w14:paraId="4D6CF8B2" w14:textId="77777777" w:rsidR="007E31B9" w:rsidRPr="00777617" w:rsidRDefault="007E31B9" w:rsidP="007E31B9">
            <w:pPr>
              <w:spacing w:after="160" w:line="259" w:lineRule="auto"/>
              <w:rPr>
                <w:lang w:val="en-US"/>
              </w:rPr>
            </w:pPr>
          </w:p>
        </w:tc>
        <w:tc>
          <w:tcPr>
            <w:tcW w:w="1251" w:type="pct"/>
          </w:tcPr>
          <w:p w14:paraId="688D95BC" w14:textId="64012870" w:rsidR="007E31B9" w:rsidRPr="00F533FA" w:rsidRDefault="007E31B9" w:rsidP="007E31B9">
            <w:pPr>
              <w:spacing w:after="160" w:line="259" w:lineRule="auto"/>
              <w:rPr>
                <w:lang w:val="en-US"/>
              </w:rPr>
            </w:pPr>
            <w:r>
              <w:rPr>
                <w:lang w:val="en-US"/>
              </w:rPr>
              <w:t>Bandwidth</w:t>
            </w:r>
          </w:p>
        </w:tc>
        <w:tc>
          <w:tcPr>
            <w:tcW w:w="1955" w:type="pct"/>
          </w:tcPr>
          <w:p w14:paraId="1AB63BAB" w14:textId="1B7939BD" w:rsidR="007E31B9" w:rsidRPr="00777617" w:rsidRDefault="007E31B9" w:rsidP="007E31B9">
            <w:pPr>
              <w:spacing w:after="160" w:line="259" w:lineRule="auto"/>
              <w:rPr>
                <w:lang w:val="en-US"/>
              </w:rPr>
            </w:pPr>
            <w:r>
              <w:t>Infrastruktur (Telefonie)</w:t>
            </w:r>
          </w:p>
        </w:tc>
        <w:tc>
          <w:tcPr>
            <w:tcW w:w="1405" w:type="pct"/>
          </w:tcPr>
          <w:p w14:paraId="5C1BD7F3" w14:textId="14A8D477" w:rsidR="007E31B9" w:rsidRPr="00777617" w:rsidRDefault="007E31B9" w:rsidP="007E31B9">
            <w:pPr>
              <w:spacing w:after="160" w:line="259" w:lineRule="auto"/>
              <w:rPr>
                <w:lang w:val="en-US"/>
              </w:rPr>
            </w:pPr>
            <w:r>
              <w:t>Vereinigte Staaten von Amerika</w:t>
            </w:r>
          </w:p>
        </w:tc>
      </w:tr>
    </w:tbl>
    <w:p w14:paraId="1CC6B842" w14:textId="77777777" w:rsidR="00A354F9" w:rsidRPr="00A354F9" w:rsidRDefault="00A354F9" w:rsidP="00A354F9">
      <w:pPr>
        <w:pStyle w:val="berschrift1"/>
      </w:pPr>
      <w:r w:rsidRPr="00A354F9">
        <w:lastRenderedPageBreak/>
        <w:t>Übermittlungen von personenbezogenen Daten an ein Drittland oder an eine internationale Organisation</w:t>
      </w:r>
    </w:p>
    <w:tbl>
      <w:tblPr>
        <w:tblStyle w:val="Tabellenraster"/>
        <w:tblW w:w="5000" w:type="pct"/>
        <w:tblLook w:val="04A0" w:firstRow="1" w:lastRow="0" w:firstColumn="1" w:lastColumn="0" w:noHBand="0" w:noVBand="1"/>
      </w:tblPr>
      <w:tblGrid>
        <w:gridCol w:w="1754"/>
        <w:gridCol w:w="2310"/>
        <w:gridCol w:w="4998"/>
      </w:tblGrid>
      <w:tr w:rsidR="00A354F9" w:rsidRPr="00A354F9" w14:paraId="103ABCD0" w14:textId="77777777" w:rsidTr="00B136FD">
        <w:tc>
          <w:tcPr>
            <w:tcW w:w="929" w:type="pct"/>
            <w:hideMark/>
          </w:tcPr>
          <w:p w14:paraId="0E978E7A" w14:textId="77777777" w:rsidR="00A354F9" w:rsidRPr="00A354F9" w:rsidRDefault="00A354F9" w:rsidP="00A354F9">
            <w:pPr>
              <w:spacing w:after="160" w:line="259" w:lineRule="auto"/>
              <w:rPr>
                <w:b/>
                <w:bCs/>
              </w:rPr>
            </w:pPr>
            <w:r w:rsidRPr="00A354F9">
              <w:rPr>
                <w:b/>
                <w:bCs/>
              </w:rPr>
              <w:t>Nummer nach Datenkategorien</w:t>
            </w:r>
          </w:p>
        </w:tc>
        <w:tc>
          <w:tcPr>
            <w:tcW w:w="2667" w:type="pct"/>
            <w:hideMark/>
          </w:tcPr>
          <w:p w14:paraId="67419145" w14:textId="77777777" w:rsidR="00A354F9" w:rsidRPr="00A354F9" w:rsidRDefault="00A354F9" w:rsidP="00A354F9">
            <w:pPr>
              <w:spacing w:after="160" w:line="259" w:lineRule="auto"/>
              <w:rPr>
                <w:b/>
                <w:bCs/>
              </w:rPr>
            </w:pPr>
            <w:r w:rsidRPr="00A354F9">
              <w:rPr>
                <w:b/>
                <w:bCs/>
              </w:rPr>
              <w:t>Drittland oder internationale Organisation</w:t>
            </w:r>
          </w:p>
        </w:tc>
        <w:tc>
          <w:tcPr>
            <w:tcW w:w="1405" w:type="pct"/>
            <w:hideMark/>
          </w:tcPr>
          <w:p w14:paraId="596EF1AF" w14:textId="77777777" w:rsidR="00A354F9" w:rsidRPr="00A354F9" w:rsidRDefault="00A354F9" w:rsidP="00A354F9">
            <w:pPr>
              <w:spacing w:after="160" w:line="259" w:lineRule="auto"/>
              <w:rPr>
                <w:b/>
                <w:bCs/>
              </w:rPr>
            </w:pPr>
            <w:r w:rsidRPr="00A354F9">
              <w:rPr>
                <w:b/>
                <w:bCs/>
              </w:rPr>
              <w:t>Geeignete Garantien im Falle einer Übermittlung nach Art. 49 Abs. 1 Unterabsatz 2 DSGVO</w:t>
            </w:r>
          </w:p>
        </w:tc>
      </w:tr>
      <w:tr w:rsidR="00A354F9" w:rsidRPr="00A354F9" w14:paraId="6AAD4D36" w14:textId="77777777" w:rsidTr="00B136FD">
        <w:tc>
          <w:tcPr>
            <w:tcW w:w="929" w:type="pct"/>
          </w:tcPr>
          <w:p w14:paraId="386A432A" w14:textId="116C069E" w:rsidR="00A354F9" w:rsidRPr="00A354F9" w:rsidRDefault="009E4CF8" w:rsidP="00A354F9">
            <w:pPr>
              <w:spacing w:after="160" w:line="259" w:lineRule="auto"/>
            </w:pPr>
            <w:r>
              <w:t>1-6</w:t>
            </w:r>
          </w:p>
        </w:tc>
        <w:tc>
          <w:tcPr>
            <w:tcW w:w="2667" w:type="pct"/>
          </w:tcPr>
          <w:p w14:paraId="495DF6A7" w14:textId="77777777" w:rsidR="00A354F9" w:rsidRDefault="009E4CF8" w:rsidP="00A354F9">
            <w:pPr>
              <w:spacing w:after="160" w:line="259" w:lineRule="auto"/>
            </w:pPr>
            <w:r w:rsidRPr="009E4CF8">
              <w:t>Vereinigte Staaten von Amerika</w:t>
            </w:r>
            <w:r w:rsidR="00DE4628">
              <w:t xml:space="preserve">, </w:t>
            </w:r>
            <w:r w:rsidR="006B0CBF">
              <w:t>Kanada</w:t>
            </w:r>
            <w:r w:rsidR="006B0CBF" w:rsidRPr="006B0CBF">
              <w:t>, Indi</w:t>
            </w:r>
            <w:r w:rsidR="006B0CBF">
              <w:t>en</w:t>
            </w:r>
            <w:r w:rsidR="006B0CBF" w:rsidRPr="006B0CBF">
              <w:t>, Australi</w:t>
            </w:r>
            <w:r w:rsidR="006B0CBF">
              <w:t>en</w:t>
            </w:r>
            <w:r w:rsidR="006B0CBF" w:rsidRPr="006B0CBF">
              <w:t xml:space="preserve">, </w:t>
            </w:r>
            <w:r w:rsidR="006B0CBF">
              <w:t>Brasilien</w:t>
            </w:r>
            <w:r w:rsidR="006B0CBF" w:rsidRPr="006B0CBF">
              <w:t>,</w:t>
            </w:r>
            <w:r w:rsidR="006B0CBF">
              <w:t xml:space="preserve"> </w:t>
            </w:r>
            <w:r w:rsidR="006B0CBF" w:rsidRPr="006B0CBF">
              <w:t>Japan</w:t>
            </w:r>
            <w:r w:rsidR="006B0CBF">
              <w:t xml:space="preserve">, </w:t>
            </w:r>
            <w:r w:rsidR="006B0CBF" w:rsidRPr="006B0CBF">
              <w:t>Hong Kong</w:t>
            </w:r>
          </w:p>
          <w:p w14:paraId="791AC415" w14:textId="34CC38D0" w:rsidR="00B63F64" w:rsidRPr="00A354F9" w:rsidRDefault="00B63F64" w:rsidP="00A354F9">
            <w:pPr>
              <w:spacing w:after="160" w:line="259" w:lineRule="auto"/>
            </w:pPr>
            <w:r>
              <w:rPr>
                <w:shd w:val="clear" w:color="auto" w:fill="00FFFF"/>
              </w:rPr>
              <w:t>Die Meetings werden in folgenden Regionen gehostet Vereinigte Staaten von Amerika, Kanada, Japan, Europa</w:t>
            </w:r>
          </w:p>
        </w:tc>
        <w:tc>
          <w:tcPr>
            <w:tcW w:w="1405" w:type="pct"/>
          </w:tcPr>
          <w:p w14:paraId="2B46B3A2" w14:textId="1439DD39" w:rsidR="009E4CF8" w:rsidRDefault="009E4CF8" w:rsidP="00A354F9">
            <w:pPr>
              <w:spacing w:after="160" w:line="259" w:lineRule="auto"/>
            </w:pPr>
            <w:r w:rsidRPr="009E4CF8">
              <w:t>Standarddatenschutzklauseln</w:t>
            </w:r>
          </w:p>
          <w:p w14:paraId="0AE87D5F" w14:textId="16F84544" w:rsidR="00B136FD" w:rsidRDefault="00E25BA7" w:rsidP="00A354F9">
            <w:pPr>
              <w:spacing w:after="160" w:line="259" w:lineRule="auto"/>
            </w:pPr>
            <w:hyperlink r:id="rId14" w:history="1">
              <w:r w:rsidR="00B136FD" w:rsidRPr="009A4A79">
                <w:rPr>
                  <w:rStyle w:val="Hyperlink"/>
                </w:rPr>
                <w:t>https://zoom.us/docs/doc/</w:t>
              </w:r>
              <w:r w:rsidR="00B136FD" w:rsidRPr="009A4A79">
                <w:rPr>
                  <w:rStyle w:val="Hyperlink"/>
                </w:rPr>
                <w:br/>
                <w:t>Zoom_GLOBAL_DPA_December_19.pdf</w:t>
              </w:r>
            </w:hyperlink>
          </w:p>
          <w:p w14:paraId="282CCB19" w14:textId="77777777" w:rsidR="00EC6B8B" w:rsidRDefault="009E4CF8" w:rsidP="00A354F9">
            <w:pPr>
              <w:spacing w:after="160" w:line="259" w:lineRule="auto"/>
            </w:pPr>
            <w:r>
              <w:t>EU-US-</w:t>
            </w:r>
            <w:proofErr w:type="spellStart"/>
            <w:r>
              <w:t>Privacy</w:t>
            </w:r>
            <w:r w:rsidR="008F1562">
              <w:t>S</w:t>
            </w:r>
            <w:r>
              <w:t>hield</w:t>
            </w:r>
            <w:proofErr w:type="spellEnd"/>
          </w:p>
          <w:p w14:paraId="12E15CAE" w14:textId="17D3364D" w:rsidR="00B136FD" w:rsidRPr="00A354F9" w:rsidRDefault="00E25BA7" w:rsidP="00A354F9">
            <w:pPr>
              <w:spacing w:after="160" w:line="259" w:lineRule="auto"/>
            </w:pPr>
            <w:hyperlink r:id="rId15" w:history="1">
              <w:r w:rsidR="008E1106" w:rsidRPr="009A4A79">
                <w:rPr>
                  <w:rStyle w:val="Hyperlink"/>
                </w:rPr>
                <w:t>https://www.privacyshield.gov/</w:t>
              </w:r>
              <w:r w:rsidR="008E1106" w:rsidRPr="009A4A79">
                <w:rPr>
                  <w:rStyle w:val="Hyperlink"/>
                </w:rPr>
                <w:br/>
              </w:r>
              <w:proofErr w:type="spellStart"/>
              <w:r w:rsidR="008E1106" w:rsidRPr="009A4A79">
                <w:rPr>
                  <w:rStyle w:val="Hyperlink"/>
                </w:rPr>
                <w:t>participant?id</w:t>
              </w:r>
              <w:proofErr w:type="spellEnd"/>
              <w:r w:rsidR="008E1106" w:rsidRPr="009A4A79">
                <w:rPr>
                  <w:rStyle w:val="Hyperlink"/>
                </w:rPr>
                <w:t>=a2zt0000000TNkCAAW&amp;status=</w:t>
              </w:r>
              <w:proofErr w:type="spellStart"/>
              <w:r w:rsidR="008E1106" w:rsidRPr="009A4A79">
                <w:rPr>
                  <w:rStyle w:val="Hyperlink"/>
                </w:rPr>
                <w:t>Active</w:t>
              </w:r>
              <w:proofErr w:type="spellEnd"/>
            </w:hyperlink>
            <w:r w:rsidR="00375BD7">
              <w:t xml:space="preserve"> </w:t>
            </w:r>
          </w:p>
        </w:tc>
      </w:tr>
      <w:tr w:rsidR="00975B8D" w:rsidRPr="00A354F9" w14:paraId="1C2DAA4F" w14:textId="77777777" w:rsidTr="00B136FD">
        <w:tc>
          <w:tcPr>
            <w:tcW w:w="929" w:type="pct"/>
          </w:tcPr>
          <w:p w14:paraId="351DBB97" w14:textId="13E60987" w:rsidR="00975B8D" w:rsidRPr="00A354F9" w:rsidRDefault="00975B8D" w:rsidP="00A354F9">
            <w:pPr>
              <w:spacing w:after="160" w:line="259" w:lineRule="auto"/>
            </w:pPr>
            <w:r>
              <w:t>1-6</w:t>
            </w:r>
          </w:p>
        </w:tc>
        <w:tc>
          <w:tcPr>
            <w:tcW w:w="2667" w:type="pct"/>
          </w:tcPr>
          <w:p w14:paraId="50B26EB7" w14:textId="3CA9E3AA" w:rsidR="00975B8D" w:rsidRPr="00A354F9" w:rsidRDefault="00975B8D" w:rsidP="00A354F9">
            <w:pPr>
              <w:spacing w:after="160" w:line="259" w:lineRule="auto"/>
            </w:pPr>
            <w:r w:rsidRPr="00975B8D">
              <w:t>Vereinigte Staaten von Amerika</w:t>
            </w:r>
            <w:r>
              <w:t xml:space="preserve">, </w:t>
            </w:r>
            <w:r w:rsidRPr="00975B8D">
              <w:t>Malaysia</w:t>
            </w:r>
            <w:r>
              <w:t xml:space="preserve">, </w:t>
            </w:r>
            <w:r w:rsidRPr="00975B8D">
              <w:t>Kanada</w:t>
            </w:r>
            <w:r>
              <w:t xml:space="preserve">, </w:t>
            </w:r>
            <w:r w:rsidR="00A44ABB">
              <w:t>Australien</w:t>
            </w:r>
            <w:r w:rsidR="007C09E4">
              <w:t xml:space="preserve">, </w:t>
            </w:r>
            <w:r w:rsidR="007C09E4">
              <w:rPr>
                <w:shd w:val="clear" w:color="auto" w:fill="00FFFF"/>
              </w:rPr>
              <w:t>Philippinen</w:t>
            </w:r>
          </w:p>
        </w:tc>
        <w:tc>
          <w:tcPr>
            <w:tcW w:w="1405" w:type="pct"/>
          </w:tcPr>
          <w:p w14:paraId="684E3AAB" w14:textId="693C3795" w:rsidR="00975B8D" w:rsidRPr="00A354F9" w:rsidRDefault="00975B8D" w:rsidP="00A354F9">
            <w:pPr>
              <w:spacing w:after="160" w:line="259" w:lineRule="auto"/>
            </w:pPr>
            <w:r>
              <w:t>Unterauftragsverarbeiter Garantie durch Standarddatenschutzklauseln</w:t>
            </w:r>
          </w:p>
        </w:tc>
      </w:tr>
    </w:tbl>
    <w:p w14:paraId="1577EDD5" w14:textId="77777777" w:rsidR="00A354F9" w:rsidRPr="00A354F9" w:rsidRDefault="00A354F9" w:rsidP="00A354F9">
      <w:pPr>
        <w:pStyle w:val="berschrift1"/>
      </w:pPr>
      <w:r w:rsidRPr="00A354F9">
        <w:t>Vorgesehene Fristen für die Löschung der verschiedenen Datenkategorien</w:t>
      </w:r>
    </w:p>
    <w:tbl>
      <w:tblPr>
        <w:tblStyle w:val="Tabellenraster"/>
        <w:tblW w:w="5000" w:type="pct"/>
        <w:tblLook w:val="04A0" w:firstRow="1" w:lastRow="0" w:firstColumn="1" w:lastColumn="0" w:noHBand="0" w:noVBand="1"/>
      </w:tblPr>
      <w:tblGrid>
        <w:gridCol w:w="3402"/>
        <w:gridCol w:w="5660"/>
      </w:tblGrid>
      <w:tr w:rsidR="00A354F9" w:rsidRPr="00A354F9" w14:paraId="3F895103" w14:textId="77777777" w:rsidTr="00A354F9">
        <w:tc>
          <w:tcPr>
            <w:tcW w:w="1877" w:type="pct"/>
            <w:hideMark/>
          </w:tcPr>
          <w:p w14:paraId="34EBB65B" w14:textId="77777777" w:rsidR="00A354F9" w:rsidRPr="00A354F9" w:rsidRDefault="00A354F9" w:rsidP="00A354F9">
            <w:pPr>
              <w:spacing w:after="160" w:line="259" w:lineRule="auto"/>
            </w:pPr>
            <w:r w:rsidRPr="00A354F9">
              <w:t>Nummer nach Datenkategorien</w:t>
            </w:r>
          </w:p>
        </w:tc>
        <w:tc>
          <w:tcPr>
            <w:tcW w:w="3123" w:type="pct"/>
            <w:hideMark/>
          </w:tcPr>
          <w:p w14:paraId="51BFA0D1" w14:textId="77777777" w:rsidR="00A354F9" w:rsidRPr="00A354F9" w:rsidRDefault="00A354F9" w:rsidP="00A354F9">
            <w:pPr>
              <w:spacing w:after="160" w:line="259" w:lineRule="auto"/>
            </w:pPr>
            <w:r w:rsidRPr="00A354F9">
              <w:t>Löschungsfrist</w:t>
            </w:r>
          </w:p>
        </w:tc>
      </w:tr>
      <w:tr w:rsidR="00A354F9" w:rsidRPr="00A354F9" w14:paraId="6076C49F" w14:textId="77777777" w:rsidTr="00213223">
        <w:tc>
          <w:tcPr>
            <w:tcW w:w="1877" w:type="pct"/>
          </w:tcPr>
          <w:p w14:paraId="11F5A6D3" w14:textId="7CEF0DEC" w:rsidR="00A354F9" w:rsidRPr="00A354F9" w:rsidRDefault="009E4CF8" w:rsidP="00A354F9">
            <w:pPr>
              <w:spacing w:after="160" w:line="259" w:lineRule="auto"/>
            </w:pPr>
            <w:r>
              <w:t>1</w:t>
            </w:r>
          </w:p>
        </w:tc>
        <w:tc>
          <w:tcPr>
            <w:tcW w:w="3123" w:type="pct"/>
          </w:tcPr>
          <w:p w14:paraId="180DB21D" w14:textId="24854691" w:rsidR="00A354F9" w:rsidRPr="00A354F9" w:rsidRDefault="008C239C" w:rsidP="00A354F9">
            <w:pPr>
              <w:spacing w:after="160" w:line="259" w:lineRule="auto"/>
            </w:pPr>
            <w:r>
              <w:t>30</w:t>
            </w:r>
            <w:r w:rsidR="00253C23">
              <w:t xml:space="preserve"> Tage nach Löschen des Accounts</w:t>
            </w:r>
            <w:r>
              <w:t xml:space="preserve"> bzw. Vertragsende</w:t>
            </w:r>
          </w:p>
        </w:tc>
      </w:tr>
      <w:tr w:rsidR="00A354F9" w:rsidRPr="00A354F9" w14:paraId="224B3933" w14:textId="77777777" w:rsidTr="00213223">
        <w:tc>
          <w:tcPr>
            <w:tcW w:w="1877" w:type="pct"/>
          </w:tcPr>
          <w:p w14:paraId="4761E98B" w14:textId="79F61A9B" w:rsidR="00A354F9" w:rsidRPr="00A354F9" w:rsidRDefault="009E4CF8" w:rsidP="00EC6B8B">
            <w:pPr>
              <w:spacing w:after="160" w:line="259" w:lineRule="auto"/>
            </w:pPr>
            <w:r>
              <w:t>2</w:t>
            </w:r>
          </w:p>
        </w:tc>
        <w:tc>
          <w:tcPr>
            <w:tcW w:w="3123" w:type="pct"/>
          </w:tcPr>
          <w:p w14:paraId="124954E9" w14:textId="6143D03A" w:rsidR="00A354F9" w:rsidRPr="00A354F9" w:rsidRDefault="008C239C" w:rsidP="00A354F9">
            <w:pPr>
              <w:spacing w:after="160" w:line="259" w:lineRule="auto"/>
            </w:pPr>
            <w:r w:rsidRPr="008C239C">
              <w:t>30 Tage nach Löschbitte bzw. Vertragsende</w:t>
            </w:r>
          </w:p>
        </w:tc>
      </w:tr>
      <w:tr w:rsidR="009E4CF8" w:rsidRPr="00A354F9" w14:paraId="75ED9D28" w14:textId="77777777" w:rsidTr="00213223">
        <w:tc>
          <w:tcPr>
            <w:tcW w:w="1877" w:type="pct"/>
          </w:tcPr>
          <w:p w14:paraId="3D50A030" w14:textId="7167A085" w:rsidR="009E4CF8" w:rsidRPr="00A354F9" w:rsidRDefault="009E4CF8" w:rsidP="00EC6B8B">
            <w:pPr>
              <w:spacing w:after="160" w:line="259" w:lineRule="auto"/>
            </w:pPr>
            <w:r>
              <w:t>3</w:t>
            </w:r>
          </w:p>
        </w:tc>
        <w:tc>
          <w:tcPr>
            <w:tcW w:w="3123" w:type="pct"/>
          </w:tcPr>
          <w:p w14:paraId="591E2E93" w14:textId="76AEE3D2" w:rsidR="009E4CF8" w:rsidRPr="00A354F9" w:rsidRDefault="005F4FFE" w:rsidP="00A354F9">
            <w:pPr>
              <w:spacing w:after="160" w:line="259" w:lineRule="auto"/>
            </w:pPr>
            <w:r>
              <w:t>7 Tage n</w:t>
            </w:r>
            <w:r w:rsidR="00A857B6">
              <w:t xml:space="preserve">ach </w:t>
            </w:r>
            <w:r w:rsidR="008C239C">
              <w:t>Löschung</w:t>
            </w:r>
            <w:r w:rsidR="00A857B6">
              <w:t xml:space="preserve"> de</w:t>
            </w:r>
            <w:r w:rsidR="00416401">
              <w:t xml:space="preserve">r </w:t>
            </w:r>
            <w:r w:rsidR="00060DA4">
              <w:t>Cloud-</w:t>
            </w:r>
            <w:r w:rsidR="00416401">
              <w:t>Aufzeichnung</w:t>
            </w:r>
            <w:r w:rsidR="00060DA4">
              <w:br/>
            </w:r>
            <w:r w:rsidR="00060DA4" w:rsidRPr="008C2498">
              <w:rPr>
                <w:highlight w:val="yellow"/>
              </w:rPr>
              <w:t xml:space="preserve">Bei lokaler Speicherung </w:t>
            </w:r>
            <w:r w:rsidR="008C2498" w:rsidRPr="008C2498">
              <w:rPr>
                <w:highlight w:val="yellow"/>
              </w:rPr>
              <w:t>nach eigenen Fristen</w:t>
            </w:r>
          </w:p>
        </w:tc>
      </w:tr>
      <w:tr w:rsidR="00FE2852" w:rsidRPr="00A354F9" w14:paraId="6A617736" w14:textId="77777777" w:rsidTr="00213223">
        <w:tc>
          <w:tcPr>
            <w:tcW w:w="1877" w:type="pct"/>
          </w:tcPr>
          <w:p w14:paraId="56A33FB3" w14:textId="2F860408" w:rsidR="00FE2852" w:rsidRPr="00A354F9" w:rsidRDefault="00FE2852" w:rsidP="00FE2852">
            <w:pPr>
              <w:spacing w:after="160" w:line="259" w:lineRule="auto"/>
            </w:pPr>
            <w:r>
              <w:t>4</w:t>
            </w:r>
          </w:p>
        </w:tc>
        <w:tc>
          <w:tcPr>
            <w:tcW w:w="3123" w:type="pct"/>
          </w:tcPr>
          <w:p w14:paraId="4FCF9A5B" w14:textId="22F7148D" w:rsidR="00FE2852" w:rsidRPr="00A354F9" w:rsidRDefault="008C239C" w:rsidP="00FE2852">
            <w:pPr>
              <w:spacing w:after="160" w:line="259" w:lineRule="auto"/>
            </w:pPr>
            <w:r w:rsidRPr="008C239C">
              <w:t xml:space="preserve">7 Tage nach </w:t>
            </w:r>
            <w:r>
              <w:t>Löschung</w:t>
            </w:r>
            <w:r w:rsidRPr="008C239C">
              <w:t xml:space="preserve"> </w:t>
            </w:r>
            <w:r>
              <w:t>des</w:t>
            </w:r>
            <w:r w:rsidRPr="008C239C">
              <w:t xml:space="preserve"> </w:t>
            </w:r>
            <w:r>
              <w:t>Chats</w:t>
            </w:r>
            <w:r w:rsidR="00F72BCA">
              <w:t xml:space="preserve"> bei Cloudspeicherung</w:t>
            </w:r>
            <w:r w:rsidR="00DE4628">
              <w:t xml:space="preserve">, </w:t>
            </w:r>
            <w:r w:rsidR="00F72BCA">
              <w:br/>
            </w:r>
            <w:r w:rsidR="00F72BCA" w:rsidRPr="00F72BCA">
              <w:rPr>
                <w:highlight w:val="yellow"/>
              </w:rPr>
              <w:t>Bei lokaler Speicherung werden Chatnachristen gelöscht, die älter als 30 Tage sind.</w:t>
            </w:r>
          </w:p>
        </w:tc>
      </w:tr>
      <w:tr w:rsidR="00FE2852" w:rsidRPr="00A354F9" w14:paraId="11AB8A8D" w14:textId="77777777" w:rsidTr="00213223">
        <w:tc>
          <w:tcPr>
            <w:tcW w:w="1877" w:type="pct"/>
          </w:tcPr>
          <w:p w14:paraId="2660DC9A" w14:textId="4355682B" w:rsidR="00FE2852" w:rsidRPr="00A354F9" w:rsidRDefault="00FE2852" w:rsidP="00FE2852">
            <w:pPr>
              <w:spacing w:after="160" w:line="259" w:lineRule="auto"/>
            </w:pPr>
            <w:r>
              <w:t>5</w:t>
            </w:r>
          </w:p>
        </w:tc>
        <w:tc>
          <w:tcPr>
            <w:tcW w:w="3123" w:type="pct"/>
          </w:tcPr>
          <w:p w14:paraId="6CFBC46D" w14:textId="36A55FB0" w:rsidR="00FE2852" w:rsidRPr="00A354F9" w:rsidRDefault="008C239C" w:rsidP="00FE2852">
            <w:pPr>
              <w:spacing w:after="160" w:line="259" w:lineRule="auto"/>
            </w:pPr>
            <w:r w:rsidRPr="008C239C">
              <w:t>30 Tage nach Lösch</w:t>
            </w:r>
            <w:r>
              <w:t>bitte</w:t>
            </w:r>
            <w:r w:rsidRPr="008C239C">
              <w:t xml:space="preserve"> bzw. Ve</w:t>
            </w:r>
            <w:r>
              <w:t>r</w:t>
            </w:r>
            <w:r w:rsidRPr="008C239C">
              <w:t>tragsende</w:t>
            </w:r>
          </w:p>
        </w:tc>
      </w:tr>
      <w:tr w:rsidR="00FE2852" w:rsidRPr="00A354F9" w14:paraId="3FAA9CA8" w14:textId="77777777" w:rsidTr="00213223">
        <w:trPr>
          <w:trHeight w:val="70"/>
        </w:trPr>
        <w:tc>
          <w:tcPr>
            <w:tcW w:w="1877" w:type="pct"/>
          </w:tcPr>
          <w:p w14:paraId="3ADE291A" w14:textId="423E314B" w:rsidR="00FE2852" w:rsidRPr="00A354F9" w:rsidRDefault="00FE2852" w:rsidP="00FE2852">
            <w:pPr>
              <w:spacing w:after="160" w:line="259" w:lineRule="auto"/>
            </w:pPr>
            <w:r>
              <w:t>6</w:t>
            </w:r>
          </w:p>
        </w:tc>
        <w:tc>
          <w:tcPr>
            <w:tcW w:w="3123" w:type="pct"/>
          </w:tcPr>
          <w:p w14:paraId="77DBA089" w14:textId="352E71F3" w:rsidR="00FE2852" w:rsidRPr="00A354F9" w:rsidRDefault="00FE2852" w:rsidP="00FE2852">
            <w:pPr>
              <w:spacing w:after="160" w:line="259" w:lineRule="auto"/>
            </w:pPr>
            <w:r>
              <w:t>Intern gemäß Haushalts- und Steuerrecht</w:t>
            </w:r>
          </w:p>
        </w:tc>
      </w:tr>
    </w:tbl>
    <w:p w14:paraId="340FDBCD" w14:textId="1EA4B900" w:rsidR="00EF5A37" w:rsidRDefault="00EF5A37" w:rsidP="00A354F9">
      <w:pPr>
        <w:spacing w:after="160" w:line="259" w:lineRule="auto"/>
      </w:pPr>
    </w:p>
    <w:sectPr w:rsidR="00EF5A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30360"/>
    <w:multiLevelType w:val="hybridMultilevel"/>
    <w:tmpl w:val="6842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E6152"/>
    <w:multiLevelType w:val="multilevel"/>
    <w:tmpl w:val="A53C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A2618"/>
    <w:multiLevelType w:val="multilevel"/>
    <w:tmpl w:val="455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B412C"/>
    <w:multiLevelType w:val="multilevel"/>
    <w:tmpl w:val="EA0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C4C7F"/>
    <w:multiLevelType w:val="hybridMultilevel"/>
    <w:tmpl w:val="BEE00B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2E7223"/>
    <w:multiLevelType w:val="hybridMultilevel"/>
    <w:tmpl w:val="17B0F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F9"/>
    <w:rsid w:val="0001214E"/>
    <w:rsid w:val="00014207"/>
    <w:rsid w:val="000561EF"/>
    <w:rsid w:val="00060DA4"/>
    <w:rsid w:val="00095C80"/>
    <w:rsid w:val="000C0C31"/>
    <w:rsid w:val="000D1781"/>
    <w:rsid w:val="001072B4"/>
    <w:rsid w:val="001137B0"/>
    <w:rsid w:val="0013613A"/>
    <w:rsid w:val="00146DE9"/>
    <w:rsid w:val="00147C49"/>
    <w:rsid w:val="00150FF3"/>
    <w:rsid w:val="00153C4D"/>
    <w:rsid w:val="00170F9F"/>
    <w:rsid w:val="00172968"/>
    <w:rsid w:val="001729E1"/>
    <w:rsid w:val="00174E88"/>
    <w:rsid w:val="001A6668"/>
    <w:rsid w:val="001D6941"/>
    <w:rsid w:val="001D6F8A"/>
    <w:rsid w:val="00213223"/>
    <w:rsid w:val="00222123"/>
    <w:rsid w:val="00232B9A"/>
    <w:rsid w:val="00253C23"/>
    <w:rsid w:val="00293A30"/>
    <w:rsid w:val="002A153E"/>
    <w:rsid w:val="002A6613"/>
    <w:rsid w:val="002C0AC9"/>
    <w:rsid w:val="003118BF"/>
    <w:rsid w:val="00327BF1"/>
    <w:rsid w:val="00330CD5"/>
    <w:rsid w:val="00337234"/>
    <w:rsid w:val="00342BE0"/>
    <w:rsid w:val="00343894"/>
    <w:rsid w:val="003512B2"/>
    <w:rsid w:val="00356AB0"/>
    <w:rsid w:val="00375BD7"/>
    <w:rsid w:val="003A3825"/>
    <w:rsid w:val="003A48A0"/>
    <w:rsid w:val="003C2D38"/>
    <w:rsid w:val="003D16E2"/>
    <w:rsid w:val="004145A2"/>
    <w:rsid w:val="00416401"/>
    <w:rsid w:val="004217C6"/>
    <w:rsid w:val="00426485"/>
    <w:rsid w:val="0043737F"/>
    <w:rsid w:val="005858D6"/>
    <w:rsid w:val="00595AE9"/>
    <w:rsid w:val="005A1E8C"/>
    <w:rsid w:val="005E5E2C"/>
    <w:rsid w:val="005F4FFE"/>
    <w:rsid w:val="006030F2"/>
    <w:rsid w:val="00603AFE"/>
    <w:rsid w:val="0061488F"/>
    <w:rsid w:val="00626CAF"/>
    <w:rsid w:val="0062707A"/>
    <w:rsid w:val="00660B71"/>
    <w:rsid w:val="006705D3"/>
    <w:rsid w:val="006772AE"/>
    <w:rsid w:val="0068625E"/>
    <w:rsid w:val="006979E2"/>
    <w:rsid w:val="006A5827"/>
    <w:rsid w:val="006B0CBF"/>
    <w:rsid w:val="006B3631"/>
    <w:rsid w:val="006C7AAE"/>
    <w:rsid w:val="006D5C35"/>
    <w:rsid w:val="00741043"/>
    <w:rsid w:val="00744A43"/>
    <w:rsid w:val="00777617"/>
    <w:rsid w:val="007C09E4"/>
    <w:rsid w:val="007C11DA"/>
    <w:rsid w:val="007E31B9"/>
    <w:rsid w:val="007E36D0"/>
    <w:rsid w:val="007F310A"/>
    <w:rsid w:val="00801822"/>
    <w:rsid w:val="00803CBD"/>
    <w:rsid w:val="00856A37"/>
    <w:rsid w:val="0088598E"/>
    <w:rsid w:val="008A05FC"/>
    <w:rsid w:val="008C239C"/>
    <w:rsid w:val="008C2498"/>
    <w:rsid w:val="008C58A8"/>
    <w:rsid w:val="008D6655"/>
    <w:rsid w:val="008E0338"/>
    <w:rsid w:val="008E1106"/>
    <w:rsid w:val="008F1562"/>
    <w:rsid w:val="008F6ABD"/>
    <w:rsid w:val="00911FC0"/>
    <w:rsid w:val="00917B81"/>
    <w:rsid w:val="0092438A"/>
    <w:rsid w:val="00925523"/>
    <w:rsid w:val="00975B8D"/>
    <w:rsid w:val="009C17A7"/>
    <w:rsid w:val="009D4CFC"/>
    <w:rsid w:val="009E4CF8"/>
    <w:rsid w:val="009E6E58"/>
    <w:rsid w:val="00A14059"/>
    <w:rsid w:val="00A25C65"/>
    <w:rsid w:val="00A354F9"/>
    <w:rsid w:val="00A44ABB"/>
    <w:rsid w:val="00A52450"/>
    <w:rsid w:val="00A619A7"/>
    <w:rsid w:val="00A8069E"/>
    <w:rsid w:val="00A83B55"/>
    <w:rsid w:val="00A857B6"/>
    <w:rsid w:val="00AB6976"/>
    <w:rsid w:val="00AC351D"/>
    <w:rsid w:val="00AE78B5"/>
    <w:rsid w:val="00B0601D"/>
    <w:rsid w:val="00B136FD"/>
    <w:rsid w:val="00B3183E"/>
    <w:rsid w:val="00B63F64"/>
    <w:rsid w:val="00BA642A"/>
    <w:rsid w:val="00BB069A"/>
    <w:rsid w:val="00C01BDE"/>
    <w:rsid w:val="00C07F8C"/>
    <w:rsid w:val="00C3791B"/>
    <w:rsid w:val="00C516F5"/>
    <w:rsid w:val="00C817BC"/>
    <w:rsid w:val="00CF4AC2"/>
    <w:rsid w:val="00D347AE"/>
    <w:rsid w:val="00D61EEC"/>
    <w:rsid w:val="00D65C02"/>
    <w:rsid w:val="00D66A4D"/>
    <w:rsid w:val="00D7439C"/>
    <w:rsid w:val="00D903FE"/>
    <w:rsid w:val="00DE4628"/>
    <w:rsid w:val="00DE67B4"/>
    <w:rsid w:val="00E04AA0"/>
    <w:rsid w:val="00E1192E"/>
    <w:rsid w:val="00E25BA7"/>
    <w:rsid w:val="00E3535B"/>
    <w:rsid w:val="00E5531C"/>
    <w:rsid w:val="00E62707"/>
    <w:rsid w:val="00E6752A"/>
    <w:rsid w:val="00E8321C"/>
    <w:rsid w:val="00E8755B"/>
    <w:rsid w:val="00E9564C"/>
    <w:rsid w:val="00EC6B8B"/>
    <w:rsid w:val="00ED08FD"/>
    <w:rsid w:val="00EE1DCE"/>
    <w:rsid w:val="00EE3B13"/>
    <w:rsid w:val="00EF5A37"/>
    <w:rsid w:val="00F178CC"/>
    <w:rsid w:val="00F23370"/>
    <w:rsid w:val="00F42353"/>
    <w:rsid w:val="00F5199F"/>
    <w:rsid w:val="00F533FA"/>
    <w:rsid w:val="00F72BCA"/>
    <w:rsid w:val="00FB745E"/>
    <w:rsid w:val="00FE2852"/>
    <w:rsid w:val="00FE679D"/>
    <w:rsid w:val="00FF56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8C74"/>
  <w15:chartTrackingRefBased/>
  <w15:docId w15:val="{E18CB4C2-4291-470F-AFFC-A87F4A8D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4AC2"/>
    <w:pPr>
      <w:spacing w:after="60" w:line="360" w:lineRule="auto"/>
    </w:pPr>
  </w:style>
  <w:style w:type="paragraph" w:styleId="berschrift1">
    <w:name w:val="heading 1"/>
    <w:basedOn w:val="Standard"/>
    <w:next w:val="Standard"/>
    <w:link w:val="berschrift1Zchn"/>
    <w:uiPriority w:val="9"/>
    <w:qFormat/>
    <w:rsid w:val="00A354F9"/>
    <w:pPr>
      <w:keepNext/>
      <w:keepLines/>
      <w:spacing w:before="240" w:line="240" w:lineRule="auto"/>
      <w:outlineLvl w:val="0"/>
    </w:pPr>
    <w:rPr>
      <w:rFonts w:asciiTheme="majorHAnsi" w:eastAsiaTheme="majorEastAsia" w:hAnsiTheme="majorHAnsi" w:cstheme="majorBidi"/>
      <w:sz w:val="28"/>
      <w:szCs w:val="32"/>
    </w:rPr>
  </w:style>
  <w:style w:type="paragraph" w:styleId="berschrift2">
    <w:name w:val="heading 2"/>
    <w:basedOn w:val="Standard"/>
    <w:next w:val="Standard"/>
    <w:link w:val="berschrift2Zchn"/>
    <w:uiPriority w:val="9"/>
    <w:unhideWhenUsed/>
    <w:qFormat/>
    <w:rsid w:val="00A354F9"/>
    <w:pPr>
      <w:keepNext/>
      <w:keepLines/>
      <w:spacing w:before="120" w:line="240" w:lineRule="auto"/>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unhideWhenUsed/>
    <w:qFormat/>
    <w:rsid w:val="006D5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next w:val="Standard"/>
    <w:link w:val="berschrift5Zchn"/>
    <w:uiPriority w:val="9"/>
    <w:semiHidden/>
    <w:unhideWhenUsed/>
    <w:qFormat/>
    <w:rsid w:val="000561E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354F9"/>
    <w:rPr>
      <w:color w:val="0563C1" w:themeColor="hyperlink"/>
      <w:u w:val="single"/>
    </w:rPr>
  </w:style>
  <w:style w:type="character" w:customStyle="1" w:styleId="berschrift1Zchn">
    <w:name w:val="Überschrift 1 Zchn"/>
    <w:basedOn w:val="Absatz-Standardschriftart"/>
    <w:link w:val="berschrift1"/>
    <w:uiPriority w:val="9"/>
    <w:rsid w:val="00A354F9"/>
    <w:rPr>
      <w:rFonts w:asciiTheme="majorHAnsi" w:eastAsiaTheme="majorEastAsia" w:hAnsiTheme="majorHAnsi" w:cstheme="majorBidi"/>
      <w:sz w:val="28"/>
      <w:szCs w:val="32"/>
    </w:rPr>
  </w:style>
  <w:style w:type="character" w:customStyle="1" w:styleId="berschrift2Zchn">
    <w:name w:val="Überschrift 2 Zchn"/>
    <w:basedOn w:val="Absatz-Standardschriftart"/>
    <w:link w:val="berschrift2"/>
    <w:uiPriority w:val="9"/>
    <w:rsid w:val="00A354F9"/>
    <w:rPr>
      <w:rFonts w:asciiTheme="majorHAnsi" w:eastAsiaTheme="majorEastAsia" w:hAnsiTheme="majorHAnsi" w:cstheme="majorBidi"/>
      <w:sz w:val="26"/>
      <w:szCs w:val="26"/>
    </w:rPr>
  </w:style>
  <w:style w:type="table" w:styleId="Tabellenraster">
    <w:name w:val="Table Grid"/>
    <w:basedOn w:val="NormaleTabelle"/>
    <w:uiPriority w:val="39"/>
    <w:rsid w:val="00A3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4CFC"/>
    <w:pPr>
      <w:ind w:left="720"/>
      <w:contextualSpacing/>
    </w:pPr>
  </w:style>
  <w:style w:type="character" w:styleId="NichtaufgelsteErwhnung">
    <w:name w:val="Unresolved Mention"/>
    <w:basedOn w:val="Absatz-Standardschriftart"/>
    <w:uiPriority w:val="99"/>
    <w:semiHidden/>
    <w:unhideWhenUsed/>
    <w:rsid w:val="00D65C02"/>
    <w:rPr>
      <w:color w:val="605E5C"/>
      <w:shd w:val="clear" w:color="auto" w:fill="E1DFDD"/>
    </w:rPr>
  </w:style>
  <w:style w:type="character" w:customStyle="1" w:styleId="berschrift5Zchn">
    <w:name w:val="Überschrift 5 Zchn"/>
    <w:basedOn w:val="Absatz-Standardschriftart"/>
    <w:link w:val="berschrift5"/>
    <w:rsid w:val="000561EF"/>
    <w:rPr>
      <w:rFonts w:asciiTheme="majorHAnsi" w:eastAsiaTheme="majorEastAsia" w:hAnsiTheme="majorHAnsi" w:cstheme="majorBidi"/>
      <w:color w:val="2E74B5" w:themeColor="accent1" w:themeShade="BF"/>
    </w:rPr>
  </w:style>
  <w:style w:type="character" w:customStyle="1" w:styleId="berschrift3Zchn">
    <w:name w:val="Überschrift 3 Zchn"/>
    <w:basedOn w:val="Absatz-Standardschriftart"/>
    <w:link w:val="berschrift3"/>
    <w:uiPriority w:val="9"/>
    <w:rsid w:val="006D5C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0732">
      <w:bodyDiv w:val="1"/>
      <w:marLeft w:val="0"/>
      <w:marRight w:val="0"/>
      <w:marTop w:val="0"/>
      <w:marBottom w:val="0"/>
      <w:divBdr>
        <w:top w:val="none" w:sz="0" w:space="0" w:color="auto"/>
        <w:left w:val="none" w:sz="0" w:space="0" w:color="auto"/>
        <w:bottom w:val="none" w:sz="0" w:space="0" w:color="auto"/>
        <w:right w:val="none" w:sz="0" w:space="0" w:color="auto"/>
      </w:divBdr>
      <w:divsChild>
        <w:div w:id="41489183">
          <w:marLeft w:val="0"/>
          <w:marRight w:val="0"/>
          <w:marTop w:val="0"/>
          <w:marBottom w:val="0"/>
          <w:divBdr>
            <w:top w:val="none" w:sz="0" w:space="0" w:color="auto"/>
            <w:left w:val="none" w:sz="0" w:space="0" w:color="auto"/>
            <w:bottom w:val="none" w:sz="0" w:space="0" w:color="auto"/>
            <w:right w:val="none" w:sz="0" w:space="0" w:color="auto"/>
          </w:divBdr>
          <w:divsChild>
            <w:div w:id="384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9610">
      <w:bodyDiv w:val="1"/>
      <w:marLeft w:val="0"/>
      <w:marRight w:val="0"/>
      <w:marTop w:val="0"/>
      <w:marBottom w:val="0"/>
      <w:divBdr>
        <w:top w:val="none" w:sz="0" w:space="0" w:color="auto"/>
        <w:left w:val="none" w:sz="0" w:space="0" w:color="auto"/>
        <w:bottom w:val="none" w:sz="0" w:space="0" w:color="auto"/>
        <w:right w:val="none" w:sz="0" w:space="0" w:color="auto"/>
      </w:divBdr>
    </w:div>
    <w:div w:id="755711381">
      <w:bodyDiv w:val="1"/>
      <w:marLeft w:val="0"/>
      <w:marRight w:val="0"/>
      <w:marTop w:val="0"/>
      <w:marBottom w:val="0"/>
      <w:divBdr>
        <w:top w:val="none" w:sz="0" w:space="0" w:color="auto"/>
        <w:left w:val="none" w:sz="0" w:space="0" w:color="auto"/>
        <w:bottom w:val="none" w:sz="0" w:space="0" w:color="auto"/>
        <w:right w:val="none" w:sz="0" w:space="0" w:color="auto"/>
      </w:divBdr>
    </w:div>
    <w:div w:id="889878837">
      <w:bodyDiv w:val="1"/>
      <w:marLeft w:val="0"/>
      <w:marRight w:val="0"/>
      <w:marTop w:val="0"/>
      <w:marBottom w:val="0"/>
      <w:divBdr>
        <w:top w:val="none" w:sz="0" w:space="0" w:color="auto"/>
        <w:left w:val="none" w:sz="0" w:space="0" w:color="auto"/>
        <w:bottom w:val="none" w:sz="0" w:space="0" w:color="auto"/>
        <w:right w:val="none" w:sz="0" w:space="0" w:color="auto"/>
      </w:divBdr>
    </w:div>
    <w:div w:id="896938683">
      <w:bodyDiv w:val="1"/>
      <w:marLeft w:val="0"/>
      <w:marRight w:val="0"/>
      <w:marTop w:val="0"/>
      <w:marBottom w:val="0"/>
      <w:divBdr>
        <w:top w:val="none" w:sz="0" w:space="0" w:color="auto"/>
        <w:left w:val="none" w:sz="0" w:space="0" w:color="auto"/>
        <w:bottom w:val="none" w:sz="0" w:space="0" w:color="auto"/>
        <w:right w:val="none" w:sz="0" w:space="0" w:color="auto"/>
      </w:divBdr>
    </w:div>
    <w:div w:id="1069810169">
      <w:bodyDiv w:val="1"/>
      <w:marLeft w:val="0"/>
      <w:marRight w:val="0"/>
      <w:marTop w:val="0"/>
      <w:marBottom w:val="0"/>
      <w:divBdr>
        <w:top w:val="none" w:sz="0" w:space="0" w:color="auto"/>
        <w:left w:val="none" w:sz="0" w:space="0" w:color="auto"/>
        <w:bottom w:val="none" w:sz="0" w:space="0" w:color="auto"/>
        <w:right w:val="none" w:sz="0" w:space="0" w:color="auto"/>
      </w:divBdr>
    </w:div>
    <w:div w:id="1319924726">
      <w:bodyDiv w:val="1"/>
      <w:marLeft w:val="0"/>
      <w:marRight w:val="0"/>
      <w:marTop w:val="0"/>
      <w:marBottom w:val="0"/>
      <w:divBdr>
        <w:top w:val="none" w:sz="0" w:space="0" w:color="auto"/>
        <w:left w:val="none" w:sz="0" w:space="0" w:color="auto"/>
        <w:bottom w:val="none" w:sz="0" w:space="0" w:color="auto"/>
        <w:right w:val="none" w:sz="0" w:space="0" w:color="auto"/>
      </w:divBdr>
      <w:divsChild>
        <w:div w:id="889419780">
          <w:marLeft w:val="0"/>
          <w:marRight w:val="0"/>
          <w:marTop w:val="0"/>
          <w:marBottom w:val="0"/>
          <w:divBdr>
            <w:top w:val="none" w:sz="0" w:space="0" w:color="auto"/>
            <w:left w:val="none" w:sz="0" w:space="0" w:color="auto"/>
            <w:bottom w:val="none" w:sz="0" w:space="0" w:color="auto"/>
            <w:right w:val="none" w:sz="0" w:space="0" w:color="auto"/>
          </w:divBdr>
          <w:divsChild>
            <w:div w:id="6184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458">
      <w:bodyDiv w:val="1"/>
      <w:marLeft w:val="0"/>
      <w:marRight w:val="0"/>
      <w:marTop w:val="0"/>
      <w:marBottom w:val="0"/>
      <w:divBdr>
        <w:top w:val="none" w:sz="0" w:space="0" w:color="auto"/>
        <w:left w:val="none" w:sz="0" w:space="0" w:color="auto"/>
        <w:bottom w:val="none" w:sz="0" w:space="0" w:color="auto"/>
        <w:right w:val="none" w:sz="0" w:space="0" w:color="auto"/>
      </w:divBdr>
    </w:div>
    <w:div w:id="1486169881">
      <w:bodyDiv w:val="1"/>
      <w:marLeft w:val="0"/>
      <w:marRight w:val="0"/>
      <w:marTop w:val="0"/>
      <w:marBottom w:val="0"/>
      <w:divBdr>
        <w:top w:val="none" w:sz="0" w:space="0" w:color="auto"/>
        <w:left w:val="none" w:sz="0" w:space="0" w:color="auto"/>
        <w:bottom w:val="none" w:sz="0" w:space="0" w:color="auto"/>
        <w:right w:val="none" w:sz="0" w:space="0" w:color="auto"/>
      </w:divBdr>
    </w:div>
    <w:div w:id="16012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39656511-Dashboard-Statistics-and-Graphs" TargetMode="External"/><Relationship Id="rId13" Type="http://schemas.openxmlformats.org/officeDocument/2006/relationships/hyperlink" Target="https://support.zoom.us/hc/en-us/articles/202835649-Webinar-Registration-Customiz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zoom.us/hc/en-us/articles/115000538083-Attendee-attention-track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us/hc/en-us/articles/360000315683-Webinar-Registration-Source-Tracking" TargetMode="External"/><Relationship Id="rId5" Type="http://schemas.openxmlformats.org/officeDocument/2006/relationships/styles" Target="styles.xml"/><Relationship Id="rId15" Type="http://schemas.openxmlformats.org/officeDocument/2006/relationships/hyperlink" Target="https://www.privacyshield.gov/participant?id=a2zt0000000TNkCAAW&amp;status=Active" TargetMode="External"/><Relationship Id="rId10" Type="http://schemas.openxmlformats.org/officeDocument/2006/relationships/hyperlink" Target="https://support.zoom.us/hc/en-us/articles/115003478863-Using-Facebook-Pixel-with-Zoom" TargetMode="External"/><Relationship Id="rId4" Type="http://schemas.openxmlformats.org/officeDocument/2006/relationships/numbering" Target="numbering.xml"/><Relationship Id="rId9" Type="http://schemas.openxmlformats.org/officeDocument/2006/relationships/hyperlink" Target="https://support.zoom.us/hc/en-us/articles/360039017432-Dashboard-for-Meetings-and-Webinars" TargetMode="External"/><Relationship Id="rId14" Type="http://schemas.openxmlformats.org/officeDocument/2006/relationships/hyperlink" Target="https://zoom.us/docs/doc/Zoom_GLOBAL_DPA_December_19.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FCFF7C07E38A4DBA3D043DEBBFC9B3" ma:contentTypeVersion="11" ma:contentTypeDescription="Ein neues Dokument erstellen." ma:contentTypeScope="" ma:versionID="5dc15b599f8141011b876739c4fdadf6">
  <xsd:schema xmlns:xsd="http://www.w3.org/2001/XMLSchema" xmlns:xs="http://www.w3.org/2001/XMLSchema" xmlns:p="http://schemas.microsoft.com/office/2006/metadata/properties" xmlns:ns3="9ae80f3a-e507-4606-bca5-00d17cbcdb4d" xmlns:ns4="b845542e-1203-4fe5-8682-24b5acd5e7a5" targetNamespace="http://schemas.microsoft.com/office/2006/metadata/properties" ma:root="true" ma:fieldsID="9b02815764a26f3bc6f5d848752d3882" ns3:_="" ns4:_="">
    <xsd:import namespace="9ae80f3a-e507-4606-bca5-00d17cbcdb4d"/>
    <xsd:import namespace="b845542e-1203-4fe5-8682-24b5acd5e7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0f3a-e507-4606-bca5-00d17cbcd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5542e-1203-4fe5-8682-24b5acd5e7a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EDE37-1D64-4E67-ACDE-8C6B25798ADD}">
  <ds:schemaRefs>
    <ds:schemaRef ds:uri="http://schemas.microsoft.com/sharepoint/v3/contenttype/forms"/>
  </ds:schemaRefs>
</ds:datastoreItem>
</file>

<file path=customXml/itemProps2.xml><?xml version="1.0" encoding="utf-8"?>
<ds:datastoreItem xmlns:ds="http://schemas.openxmlformats.org/officeDocument/2006/customXml" ds:itemID="{4A467AEA-B26A-42D0-BB8A-1167343DA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2A9F9-2146-4706-978D-B038B937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0f3a-e507-4606-bca5-00d17cbcdb4d"/>
    <ds:schemaRef ds:uri="b845542e-1203-4fe5-8682-24b5acd5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Mustervorschlag VVT Artikel 30</vt:lpstr>
    </vt:vector>
  </TitlesOfParts>
  <Company>Universitaet Wuerzburg</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Mustervorschlag VVT Artikel 30</dc:title>
  <dc:subject/>
  <dc:creator>Johannes Nehlsen</dc:creator>
  <cp:keywords/>
  <dc:description/>
  <cp:lastModifiedBy>Johannes Nehlsen</cp:lastModifiedBy>
  <cp:revision>21</cp:revision>
  <dcterms:created xsi:type="dcterms:W3CDTF">2020-03-19T17:11:00Z</dcterms:created>
  <dcterms:modified xsi:type="dcterms:W3CDTF">2020-06-15T19:45:00Z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0x01010095FCFF7C07E38A4DBA3D043DEBBFC9B3</vt:lpwstr>
  </property>
</Properties>
</file>